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" w:hAnsi="仿宋" w:eastAsia="仿宋"/>
        </w:rPr>
      </w:pPr>
      <w:bookmarkStart w:id="11" w:name="_GoBack"/>
      <w:bookmarkEnd w:id="11"/>
    </w:p>
    <w:p>
      <w:pPr>
        <w:spacing w:line="360" w:lineRule="auto"/>
        <w:rPr>
          <w:rFonts w:ascii="仿宋" w:hAnsi="仿宋" w:eastAsia="仿宋"/>
        </w:rPr>
      </w:pPr>
    </w:p>
    <w:p>
      <w:pPr>
        <w:spacing w:line="360" w:lineRule="auto"/>
        <w:rPr>
          <w:rFonts w:ascii="仿宋" w:hAnsi="仿宋" w:eastAsia="仿宋"/>
        </w:rPr>
      </w:pPr>
    </w:p>
    <w:p>
      <w:pPr>
        <w:spacing w:line="360" w:lineRule="auto"/>
        <w:rPr>
          <w:rFonts w:ascii="仿宋" w:hAnsi="仿宋" w:eastAsia="仿宋"/>
        </w:rPr>
      </w:pPr>
    </w:p>
    <w:p>
      <w:pPr>
        <w:spacing w:line="360" w:lineRule="auto"/>
        <w:rPr>
          <w:rFonts w:ascii="仿宋" w:hAnsi="仿宋" w:eastAsia="仿宋"/>
        </w:rPr>
      </w:pPr>
    </w:p>
    <w:p>
      <w:pPr>
        <w:spacing w:line="960" w:lineRule="auto"/>
        <w:jc w:val="center"/>
        <w:rPr>
          <w:rFonts w:ascii="仿宋" w:hAnsi="仿宋" w:eastAsia="仿宋"/>
          <w:b/>
          <w:bCs/>
          <w:sz w:val="48"/>
          <w:szCs w:val="48"/>
        </w:rPr>
      </w:pPr>
      <w:r>
        <w:rPr>
          <w:rFonts w:hint="eastAsia" w:ascii="仿宋" w:hAnsi="仿宋" w:eastAsia="仿宋"/>
          <w:b/>
          <w:bCs/>
          <w:sz w:val="48"/>
          <w:szCs w:val="48"/>
        </w:rPr>
        <w:t>广东省教师继续教育信息管理平台</w:t>
      </w:r>
    </w:p>
    <w:p>
      <w:pPr>
        <w:spacing w:line="960" w:lineRule="auto"/>
        <w:jc w:val="center"/>
        <w:rPr>
          <w:rFonts w:ascii="仿宋" w:hAnsi="仿宋"/>
          <w:b/>
          <w:bCs/>
          <w:sz w:val="48"/>
          <w:szCs w:val="48"/>
        </w:rPr>
      </w:pPr>
      <w:r>
        <w:rPr>
          <w:rFonts w:hint="eastAsia" w:ascii="仿宋" w:hAnsi="仿宋"/>
          <w:b/>
          <w:bCs/>
          <w:sz w:val="48"/>
          <w:szCs w:val="48"/>
        </w:rPr>
        <w:t>高校岗前培训</w:t>
      </w:r>
    </w:p>
    <w:p>
      <w:pPr>
        <w:spacing w:line="960" w:lineRule="auto"/>
        <w:jc w:val="center"/>
        <w:rPr>
          <w:rFonts w:ascii="仿宋" w:hAnsi="仿宋" w:eastAsia="仿宋"/>
          <w:b/>
          <w:bCs/>
          <w:sz w:val="48"/>
          <w:szCs w:val="48"/>
        </w:rPr>
      </w:pPr>
    </w:p>
    <w:p>
      <w:pPr>
        <w:spacing w:line="360" w:lineRule="auto"/>
        <w:jc w:val="center"/>
        <w:rPr>
          <w:rFonts w:ascii="仿宋" w:hAnsi="仿宋" w:eastAsia="仿宋"/>
          <w:b/>
          <w:bCs/>
          <w:sz w:val="36"/>
          <w:szCs w:val="36"/>
        </w:rPr>
      </w:pPr>
      <w:r>
        <w:rPr>
          <w:rFonts w:hint="eastAsia" w:ascii="仿宋" w:hAnsi="仿宋" w:eastAsia="仿宋"/>
          <w:b/>
          <w:bCs/>
          <w:sz w:val="36"/>
          <w:szCs w:val="36"/>
        </w:rPr>
        <w:t>（教师操作手册）</w:t>
      </w:r>
    </w:p>
    <w:p>
      <w:pPr>
        <w:spacing w:line="360" w:lineRule="auto"/>
        <w:rPr>
          <w:rFonts w:ascii="仿宋" w:hAnsi="仿宋" w:eastAsia="仿宋"/>
        </w:rPr>
      </w:pPr>
    </w:p>
    <w:p>
      <w:pPr>
        <w:spacing w:line="360" w:lineRule="auto"/>
        <w:rPr>
          <w:rFonts w:ascii="仿宋" w:hAnsi="仿宋" w:eastAsia="仿宋"/>
        </w:rPr>
      </w:pPr>
    </w:p>
    <w:p>
      <w:pPr>
        <w:spacing w:line="360" w:lineRule="auto"/>
        <w:rPr>
          <w:rFonts w:ascii="仿宋" w:hAnsi="仿宋" w:eastAsia="仿宋"/>
        </w:rPr>
      </w:pPr>
    </w:p>
    <w:p>
      <w:pPr>
        <w:spacing w:line="360" w:lineRule="auto"/>
        <w:rPr>
          <w:rFonts w:ascii="仿宋" w:hAnsi="仿宋" w:eastAsia="仿宋"/>
        </w:rPr>
      </w:pPr>
    </w:p>
    <w:p>
      <w:pPr>
        <w:spacing w:line="360" w:lineRule="auto"/>
        <w:rPr>
          <w:rFonts w:ascii="仿宋" w:hAnsi="仿宋" w:eastAsia="仿宋"/>
        </w:rPr>
      </w:pPr>
    </w:p>
    <w:p>
      <w:pPr>
        <w:spacing w:line="360" w:lineRule="auto"/>
        <w:rPr>
          <w:rFonts w:ascii="仿宋" w:hAnsi="仿宋" w:eastAsia="仿宋"/>
        </w:rPr>
      </w:pPr>
    </w:p>
    <w:p>
      <w:pPr>
        <w:spacing w:line="360" w:lineRule="auto"/>
        <w:rPr>
          <w:rFonts w:ascii="仿宋" w:hAnsi="仿宋" w:eastAsia="仿宋"/>
        </w:rPr>
      </w:pPr>
    </w:p>
    <w:p>
      <w:pPr>
        <w:spacing w:line="360" w:lineRule="auto"/>
        <w:rPr>
          <w:rFonts w:ascii="仿宋" w:hAnsi="仿宋" w:eastAsia="仿宋"/>
        </w:rPr>
      </w:pPr>
    </w:p>
    <w:p>
      <w:pPr>
        <w:spacing w:line="360" w:lineRule="auto"/>
        <w:jc w:val="center"/>
        <w:rPr>
          <w:rFonts w:ascii="仿宋" w:hAnsi="仿宋" w:eastAsia="仿宋"/>
        </w:rPr>
      </w:pPr>
    </w:p>
    <w:p>
      <w:pPr>
        <w:spacing w:line="360" w:lineRule="auto"/>
        <w:jc w:val="center"/>
        <w:rPr>
          <w:rFonts w:ascii="仿宋" w:hAnsi="仿宋" w:eastAsia="仿宋"/>
          <w:sz w:val="36"/>
          <w:szCs w:val="36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" w:hAnsi="仿宋" w:eastAsia="仿宋"/>
        </w:rPr>
        <w:t>二零二三年</w:t>
      </w:r>
    </w:p>
    <w:p>
      <w:pPr>
        <w:spacing w:line="360" w:lineRule="auto"/>
        <w:jc w:val="center"/>
        <w:rPr>
          <w:rFonts w:ascii="仿宋" w:hAnsi="仿宋" w:eastAsia="仿宋"/>
          <w:b/>
          <w:bCs/>
          <w:sz w:val="44"/>
          <w:szCs w:val="44"/>
        </w:rPr>
      </w:pPr>
      <w:r>
        <w:rPr>
          <w:rFonts w:hint="eastAsia" w:ascii="仿宋" w:hAnsi="仿宋" w:eastAsia="仿宋"/>
          <w:b/>
          <w:bCs/>
          <w:sz w:val="44"/>
          <w:szCs w:val="44"/>
        </w:rPr>
        <w:t>目录</w:t>
      </w:r>
    </w:p>
    <w:p>
      <w:pPr>
        <w:pStyle w:val="14"/>
        <w:tabs>
          <w:tab w:val="right" w:leader="dot" w:pos="8306"/>
        </w:tabs>
      </w:pPr>
      <w:r>
        <w:rPr>
          <w:rFonts w:hint="eastAsia" w:ascii="仿宋" w:hAnsi="仿宋" w:eastAsia="仿宋"/>
        </w:rPr>
        <w:fldChar w:fldCharType="begin"/>
      </w:r>
      <w:r>
        <w:rPr>
          <w:rFonts w:hint="eastAsia" w:ascii="仿宋" w:hAnsi="仿宋" w:eastAsia="仿宋"/>
        </w:rPr>
        <w:instrText xml:space="preserve">TOC \o "1-3" \h \u </w:instrText>
      </w:r>
      <w:r>
        <w:rPr>
          <w:rFonts w:hint="eastAsia" w:ascii="仿宋" w:hAnsi="仿宋" w:eastAsia="仿宋"/>
        </w:rPr>
        <w:fldChar w:fldCharType="separate"/>
      </w:r>
      <w:r>
        <w:fldChar w:fldCharType="begin"/>
      </w:r>
      <w:r>
        <w:instrText xml:space="preserve"> HYPERLINK \l "_Toc26705" </w:instrText>
      </w:r>
      <w:r>
        <w:fldChar w:fldCharType="separate"/>
      </w:r>
      <w:r>
        <w:t xml:space="preserve">1. </w:t>
      </w:r>
      <w:r>
        <w:rPr>
          <w:rFonts w:hint="eastAsia"/>
        </w:rPr>
        <w:t>引言</w:t>
      </w:r>
      <w:r>
        <w:tab/>
      </w:r>
      <w:r>
        <w:fldChar w:fldCharType="begin"/>
      </w:r>
      <w:r>
        <w:instrText xml:space="preserve"> PAGEREF _Toc26705 \h 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>
      <w:pPr>
        <w:pStyle w:val="15"/>
        <w:tabs>
          <w:tab w:val="right" w:leader="dot" w:pos="8306"/>
        </w:tabs>
        <w:ind w:left="560"/>
      </w:pPr>
      <w:r>
        <w:fldChar w:fldCharType="begin"/>
      </w:r>
      <w:r>
        <w:instrText xml:space="preserve"> HYPERLINK \l "_Toc22605" </w:instrText>
      </w:r>
      <w:r>
        <w:fldChar w:fldCharType="separate"/>
      </w:r>
      <w:r>
        <w:t xml:space="preserve">1.1. </w:t>
      </w:r>
      <w:r>
        <w:rPr>
          <w:rFonts w:hint="eastAsia"/>
        </w:rPr>
        <w:t>编写目的</w:t>
      </w:r>
      <w:r>
        <w:tab/>
      </w:r>
      <w:r>
        <w:fldChar w:fldCharType="begin"/>
      </w:r>
      <w:r>
        <w:instrText xml:space="preserve"> PAGEREF _Toc22605 \h 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>
      <w:pPr>
        <w:pStyle w:val="15"/>
        <w:tabs>
          <w:tab w:val="right" w:leader="dot" w:pos="8306"/>
        </w:tabs>
        <w:ind w:left="560"/>
      </w:pPr>
      <w:r>
        <w:fldChar w:fldCharType="begin"/>
      </w:r>
      <w:r>
        <w:instrText xml:space="preserve"> HYPERLINK \l "_Toc8341" </w:instrText>
      </w:r>
      <w:r>
        <w:fldChar w:fldCharType="separate"/>
      </w:r>
      <w:r>
        <w:t xml:space="preserve">1.2. </w:t>
      </w:r>
      <w:r>
        <w:rPr>
          <w:rFonts w:hint="eastAsia"/>
        </w:rPr>
        <w:t>系统基本信息</w:t>
      </w:r>
      <w:r>
        <w:tab/>
      </w:r>
      <w:r>
        <w:fldChar w:fldCharType="begin"/>
      </w:r>
      <w:r>
        <w:instrText xml:space="preserve"> PAGEREF _Toc8341 \h 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>
      <w:pPr>
        <w:pStyle w:val="11"/>
        <w:tabs>
          <w:tab w:val="right" w:leader="dot" w:pos="8306"/>
        </w:tabs>
        <w:ind w:left="1120"/>
      </w:pPr>
      <w:r>
        <w:fldChar w:fldCharType="begin"/>
      </w:r>
      <w:r>
        <w:instrText xml:space="preserve"> HYPERLINK \l "_Toc12403" </w:instrText>
      </w:r>
      <w:r>
        <w:fldChar w:fldCharType="separate"/>
      </w:r>
      <w:r>
        <w:t xml:space="preserve">1.2.1. </w:t>
      </w:r>
      <w:r>
        <w:rPr>
          <w:rFonts w:hint="eastAsia"/>
        </w:rPr>
        <w:t>系统地址</w:t>
      </w:r>
      <w:r>
        <w:tab/>
      </w:r>
      <w:r>
        <w:fldChar w:fldCharType="begin"/>
      </w:r>
      <w:r>
        <w:instrText xml:space="preserve"> PAGEREF _Toc12403 \h 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>
      <w:pPr>
        <w:pStyle w:val="11"/>
        <w:tabs>
          <w:tab w:val="right" w:leader="dot" w:pos="8306"/>
        </w:tabs>
        <w:ind w:left="1120"/>
      </w:pPr>
      <w:r>
        <w:fldChar w:fldCharType="begin"/>
      </w:r>
      <w:r>
        <w:instrText xml:space="preserve"> HYPERLINK \l "_Toc29285" </w:instrText>
      </w:r>
      <w:r>
        <w:fldChar w:fldCharType="separate"/>
      </w:r>
      <w:r>
        <w:t xml:space="preserve">1.2.2. </w:t>
      </w:r>
      <w:r>
        <w:rPr>
          <w:rFonts w:hint="eastAsia"/>
        </w:rPr>
        <w:t>账号说明</w:t>
      </w:r>
      <w:r>
        <w:tab/>
      </w:r>
      <w:r>
        <w:fldChar w:fldCharType="begin"/>
      </w:r>
      <w:r>
        <w:instrText xml:space="preserve"> PAGEREF _Toc29285 \h 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>
      <w:pPr>
        <w:pStyle w:val="15"/>
        <w:tabs>
          <w:tab w:val="right" w:leader="dot" w:pos="8306"/>
        </w:tabs>
        <w:ind w:left="560"/>
      </w:pPr>
      <w:r>
        <w:fldChar w:fldCharType="begin"/>
      </w:r>
      <w:r>
        <w:instrText xml:space="preserve"> HYPERLINK \l "_Toc5344" </w:instrText>
      </w:r>
      <w:r>
        <w:fldChar w:fldCharType="separate"/>
      </w:r>
      <w:r>
        <w:t xml:space="preserve">1.3. </w:t>
      </w:r>
      <w:r>
        <w:rPr>
          <w:rFonts w:hint="eastAsia"/>
        </w:rPr>
        <w:t>角色职能</w:t>
      </w:r>
      <w:r>
        <w:tab/>
      </w:r>
      <w:r>
        <w:fldChar w:fldCharType="begin"/>
      </w:r>
      <w:r>
        <w:instrText xml:space="preserve"> PAGEREF _Toc5344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>
      <w:pPr>
        <w:pStyle w:val="14"/>
        <w:tabs>
          <w:tab w:val="right" w:leader="dot" w:pos="8306"/>
        </w:tabs>
      </w:pPr>
      <w:r>
        <w:fldChar w:fldCharType="begin"/>
      </w:r>
      <w:r>
        <w:instrText xml:space="preserve"> HYPERLINK \l "_Toc32173" </w:instrText>
      </w:r>
      <w:r>
        <w:fldChar w:fldCharType="separate"/>
      </w:r>
      <w:r>
        <w:t xml:space="preserve">2. </w:t>
      </w:r>
      <w:r>
        <w:rPr>
          <w:rFonts w:hint="eastAsia"/>
        </w:rPr>
        <w:t>功能操作描述</w:t>
      </w:r>
      <w:r>
        <w:tab/>
      </w:r>
      <w:r>
        <w:fldChar w:fldCharType="begin"/>
      </w:r>
      <w:r>
        <w:instrText xml:space="preserve"> PAGEREF _Toc32173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15"/>
        <w:tabs>
          <w:tab w:val="right" w:leader="dot" w:pos="8306"/>
        </w:tabs>
        <w:ind w:left="560"/>
      </w:pPr>
      <w:r>
        <w:fldChar w:fldCharType="begin"/>
      </w:r>
      <w:r>
        <w:instrText xml:space="preserve"> HYPERLINK \l "_Toc30457" </w:instrText>
      </w:r>
      <w:r>
        <w:fldChar w:fldCharType="separate"/>
      </w:r>
      <w:r>
        <w:t xml:space="preserve">2.1. </w:t>
      </w:r>
      <w:r>
        <w:rPr>
          <w:rFonts w:hint="eastAsia"/>
        </w:rPr>
        <w:t>进入高校岗前培训项目界面</w:t>
      </w:r>
      <w:r>
        <w:tab/>
      </w:r>
      <w:r>
        <w:fldChar w:fldCharType="begin"/>
      </w:r>
      <w:r>
        <w:instrText xml:space="preserve"> PAGEREF _Toc30457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15"/>
        <w:tabs>
          <w:tab w:val="right" w:leader="dot" w:pos="8306"/>
        </w:tabs>
        <w:ind w:left="560"/>
      </w:pPr>
      <w:r>
        <w:fldChar w:fldCharType="begin"/>
      </w:r>
      <w:r>
        <w:instrText xml:space="preserve"> HYPERLINK \l "_Toc17063" </w:instrText>
      </w:r>
      <w:r>
        <w:fldChar w:fldCharType="separate"/>
      </w:r>
      <w:r>
        <w:t xml:space="preserve">2.2. </w:t>
      </w:r>
      <w:r>
        <w:rPr>
          <w:rFonts w:hint="eastAsia"/>
        </w:rPr>
        <w:t>项目报名</w:t>
      </w:r>
      <w:r>
        <w:tab/>
      </w:r>
      <w:r>
        <w:fldChar w:fldCharType="begin"/>
      </w:r>
      <w:r>
        <w:instrText xml:space="preserve"> PAGEREF _Toc17063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15"/>
        <w:tabs>
          <w:tab w:val="right" w:leader="dot" w:pos="8306"/>
        </w:tabs>
        <w:ind w:left="560"/>
      </w:pPr>
      <w:r>
        <w:fldChar w:fldCharType="begin"/>
      </w:r>
      <w:r>
        <w:instrText xml:space="preserve"> HYPERLINK \l "_Toc218" </w:instrText>
      </w:r>
      <w:r>
        <w:fldChar w:fldCharType="separate"/>
      </w:r>
      <w:r>
        <w:t xml:space="preserve">2.3. </w:t>
      </w:r>
      <w:r>
        <w:rPr>
          <w:rFonts w:hint="eastAsia"/>
        </w:rPr>
        <w:t>查看培训</w:t>
      </w:r>
      <w:r>
        <w:tab/>
      </w:r>
      <w:r>
        <w:fldChar w:fldCharType="begin"/>
      </w:r>
      <w:r>
        <w:instrText xml:space="preserve"> PAGEREF _Toc218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>
      <w:pPr>
        <w:pStyle w:val="15"/>
        <w:tabs>
          <w:tab w:val="right" w:leader="dot" w:pos="8306"/>
        </w:tabs>
        <w:ind w:left="560"/>
      </w:pPr>
      <w:r>
        <w:fldChar w:fldCharType="begin"/>
      </w:r>
      <w:r>
        <w:instrText xml:space="preserve"> HYPERLINK \l "_Toc19131" </w:instrText>
      </w:r>
      <w:r>
        <w:fldChar w:fldCharType="separate"/>
      </w:r>
      <w:r>
        <w:t xml:space="preserve">2.4. </w:t>
      </w:r>
      <w:r>
        <w:rPr>
          <w:rFonts w:hint="eastAsia"/>
        </w:rPr>
        <w:t>查询筛选</w:t>
      </w:r>
      <w:r>
        <w:tab/>
      </w:r>
      <w:r>
        <w:fldChar w:fldCharType="begin"/>
      </w:r>
      <w:r>
        <w:instrText xml:space="preserve"> PAGEREF _Toc19131 \h 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>
      <w:pPr>
        <w:spacing w:line="360" w:lineRule="auto"/>
        <w:rPr>
          <w:rFonts w:ascii="仿宋" w:hAnsi="仿宋" w:eastAsia="仿宋"/>
        </w:rPr>
        <w:sectPr>
          <w:head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" w:hAnsi="仿宋" w:eastAsia="仿宋"/>
        </w:rPr>
        <w:fldChar w:fldCharType="end"/>
      </w:r>
    </w:p>
    <w:p>
      <w:pPr>
        <w:pStyle w:val="2"/>
      </w:pPr>
      <w:bookmarkStart w:id="0" w:name="_Toc26705"/>
      <w:r>
        <w:rPr>
          <w:rFonts w:hint="eastAsia"/>
        </w:rPr>
        <w:t>引言</w:t>
      </w:r>
      <w:bookmarkEnd w:id="0"/>
    </w:p>
    <w:p>
      <w:pPr>
        <w:pStyle w:val="3"/>
      </w:pPr>
      <w:bookmarkStart w:id="1" w:name="_Toc22605"/>
      <w:r>
        <w:rPr>
          <w:rFonts w:hint="eastAsia"/>
        </w:rPr>
        <w:t>编写目的</w:t>
      </w:r>
      <w:bookmarkEnd w:id="1"/>
    </w:p>
    <w:p>
      <w:pPr>
        <w:spacing w:line="360" w:lineRule="auto"/>
        <w:ind w:firstLine="56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主要编写目的是提供给用户熟悉、掌握系统所有功能的操作，解决用户在使用系统过程中遇到的操作问题，同时也为了提供系统培训工作中使用。</w:t>
      </w:r>
    </w:p>
    <w:p>
      <w:pPr>
        <w:pStyle w:val="3"/>
      </w:pPr>
      <w:bookmarkStart w:id="2" w:name="_Toc8341"/>
      <w:r>
        <w:rPr>
          <w:rFonts w:hint="eastAsia"/>
        </w:rPr>
        <w:t>系统基本信息</w:t>
      </w:r>
      <w:bookmarkEnd w:id="2"/>
    </w:p>
    <w:p>
      <w:pPr>
        <w:pStyle w:val="4"/>
      </w:pPr>
      <w:bookmarkStart w:id="3" w:name="_Toc12403"/>
      <w:r>
        <w:rPr>
          <w:rFonts w:hint="eastAsia"/>
        </w:rPr>
        <w:t>系统地址</w:t>
      </w:r>
      <w:bookmarkEnd w:id="3"/>
    </w:p>
    <w:p>
      <w:pPr>
        <w:spacing w:line="360" w:lineRule="auto"/>
        <w:ind w:firstLine="560" w:firstLineChars="200"/>
        <w:rPr>
          <w:rFonts w:ascii="仿宋" w:hAnsi="仿宋" w:eastAsia="仿宋"/>
        </w:rPr>
      </w:pPr>
      <w:r>
        <w:fldChar w:fldCharType="begin"/>
      </w:r>
      <w:r>
        <w:instrText xml:space="preserve"> HYPERLINK "https://jsglpt.gdedu.gov.cn" </w:instrText>
      </w:r>
      <w:r>
        <w:fldChar w:fldCharType="separate"/>
      </w:r>
      <w:r>
        <w:rPr>
          <w:rStyle w:val="20"/>
          <w:rFonts w:hint="eastAsia" w:ascii="仿宋" w:hAnsi="仿宋" w:eastAsia="仿宋"/>
        </w:rPr>
        <w:t>https://jsglpt.gdedu.gov.cn</w:t>
      </w:r>
      <w:r>
        <w:rPr>
          <w:rStyle w:val="20"/>
          <w:rFonts w:hint="eastAsia" w:ascii="仿宋" w:hAnsi="仿宋" w:eastAsia="仿宋"/>
        </w:rPr>
        <w:fldChar w:fldCharType="end"/>
      </w:r>
    </w:p>
    <w:p>
      <w:pPr>
        <w:pStyle w:val="4"/>
      </w:pPr>
      <w:bookmarkStart w:id="4" w:name="_Toc29285"/>
      <w:r>
        <w:rPr>
          <w:rFonts w:hint="eastAsia"/>
        </w:rPr>
        <w:t>账号说明</w:t>
      </w:r>
      <w:bookmarkEnd w:id="4"/>
    </w:p>
    <w:p>
      <w:pPr>
        <w:numPr>
          <w:ilvl w:val="0"/>
          <w:numId w:val="2"/>
        </w:numPr>
        <w:spacing w:line="360" w:lineRule="auto"/>
        <w:ind w:firstLine="56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本系统的教师账号，均由学校管理员进行注册，使用</w:t>
      </w:r>
      <w:r>
        <w:rPr>
          <w:rFonts w:hint="eastAsia" w:ascii="仿宋" w:hAnsi="仿宋" w:eastAsia="仿宋"/>
          <w:b/>
          <w:bCs/>
        </w:rPr>
        <w:t>身份证号</w:t>
      </w:r>
      <w:r>
        <w:rPr>
          <w:rFonts w:hint="eastAsia" w:ascii="仿宋" w:hAnsi="仿宋" w:eastAsia="仿宋"/>
        </w:rPr>
        <w:t>作为账号与</w:t>
      </w:r>
      <w:r>
        <w:rPr>
          <w:rFonts w:hint="eastAsia" w:ascii="仿宋" w:hAnsi="仿宋" w:eastAsia="仿宋"/>
          <w:b/>
          <w:bCs/>
        </w:rPr>
        <w:t>初始默认密码</w:t>
      </w:r>
      <w:r>
        <w:rPr>
          <w:rFonts w:hint="eastAsia" w:ascii="仿宋" w:hAnsi="仿宋" w:eastAsia="仿宋"/>
        </w:rPr>
        <w:t>进行登录。下图为本系统登录入口图示。</w:t>
      </w:r>
    </w:p>
    <w:p>
      <w:pPr>
        <w:spacing w:line="360" w:lineRule="auto"/>
        <w:jc w:val="center"/>
        <w:rPr>
          <w:rFonts w:cs="Times New Roman"/>
          <w:sz w:val="21"/>
          <w:szCs w:val="24"/>
        </w:rPr>
      </w:pPr>
      <w:r>
        <w:rPr>
          <w:rFonts w:hint="eastAsia" w:cs="Times New Roman"/>
          <w:sz w:val="21"/>
          <w:szCs w:val="24"/>
        </w:rPr>
        <w:drawing>
          <wp:inline distT="0" distB="0" distL="114300" distR="114300">
            <wp:extent cx="5274310" cy="2667635"/>
            <wp:effectExtent l="0" t="0" r="2540" b="18415"/>
            <wp:docPr id="1" name="图片 1" descr="省平台封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省平台封面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cs="Times New Roman"/>
          <w:sz w:val="21"/>
          <w:szCs w:val="24"/>
        </w:rPr>
      </w:pPr>
      <w:r>
        <w:rPr>
          <w:rFonts w:hint="eastAsia" w:cs="Times New Roman"/>
          <w:sz w:val="21"/>
          <w:szCs w:val="24"/>
        </w:rPr>
        <w:t>广东省教师继续教育信息管理平台</w:t>
      </w:r>
    </w:p>
    <w:p>
      <w:pPr>
        <w:numPr>
          <w:ilvl w:val="0"/>
          <w:numId w:val="2"/>
        </w:numPr>
        <w:spacing w:line="360" w:lineRule="auto"/>
        <w:ind w:firstLine="56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根据广东省教育厅相关文件要求，凡是用户账号连续输入密码错误次数超过3次，则账号自动锁定15分钟；如超过三个月未登录账号会被冻结，可通过平台管理员重置密码解冻。</w:t>
      </w:r>
    </w:p>
    <w:p>
      <w:pPr>
        <w:numPr>
          <w:ilvl w:val="0"/>
          <w:numId w:val="2"/>
        </w:numPr>
        <w:spacing w:line="360" w:lineRule="auto"/>
        <w:ind w:firstLine="56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如新教师在本平台没有账号信息，请联系学校管理员在本系统“教师管理-教师信息管理”新增或者批量导入教师信息，然后系统自动生成账号信息；如教师使用默认密码或简易密码请联系学校管理员在本系统“教师管理-教师信息管理”重置密码，重置</w:t>
      </w:r>
      <w:r>
        <w:rPr>
          <w:rFonts w:hint="eastAsia" w:ascii="仿宋" w:hAnsi="仿宋" w:eastAsia="仿宋"/>
          <w:b/>
          <w:bCs/>
        </w:rPr>
        <w:t>默认密码是随机生成</w:t>
      </w:r>
      <w:r>
        <w:rPr>
          <w:rFonts w:hint="eastAsia" w:ascii="仿宋" w:hAnsi="仿宋" w:eastAsia="仿宋"/>
        </w:rPr>
        <w:t>（注：输入账号密码时，请注意字母大小写）;</w:t>
      </w:r>
    </w:p>
    <w:p>
      <w:pPr>
        <w:numPr>
          <w:ilvl w:val="0"/>
          <w:numId w:val="2"/>
        </w:numPr>
        <w:spacing w:line="360" w:lineRule="auto"/>
        <w:ind w:firstLine="56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教师登录操作指引</w:t>
      </w:r>
    </w:p>
    <w:p>
      <w:pPr>
        <w:spacing w:line="360" w:lineRule="auto"/>
        <w:rPr>
          <w:rFonts w:ascii="仿宋" w:hAnsi="仿宋" w:eastAsia="仿宋"/>
        </w:rPr>
      </w:pPr>
      <w:r>
        <w:drawing>
          <wp:inline distT="0" distB="0" distL="0" distR="0">
            <wp:extent cx="5274310" cy="2914015"/>
            <wp:effectExtent l="0" t="0" r="2540" b="635"/>
            <wp:docPr id="6971963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196388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1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仿宋" w:hAnsi="仿宋" w:eastAsia="仿宋"/>
        </w:rPr>
      </w:pPr>
      <w:r>
        <w:drawing>
          <wp:inline distT="0" distB="0" distL="0" distR="0">
            <wp:extent cx="5274310" cy="3006725"/>
            <wp:effectExtent l="0" t="0" r="2540" b="3175"/>
            <wp:docPr id="12767158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71582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0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仿宋" w:hAnsi="仿宋" w:eastAsia="仿宋"/>
        </w:rPr>
      </w:pPr>
      <w:r>
        <w:drawing>
          <wp:inline distT="0" distB="0" distL="0" distR="0">
            <wp:extent cx="5274310" cy="2812415"/>
            <wp:effectExtent l="0" t="0" r="2540" b="6985"/>
            <wp:docPr id="16529499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949976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5" w:name="_Toc5344"/>
      <w:r>
        <w:rPr>
          <w:rFonts w:hint="eastAsia"/>
        </w:rPr>
        <w:t>角色职能</w:t>
      </w:r>
      <w:bookmarkEnd w:id="5"/>
    </w:p>
    <w:p>
      <w:pPr>
        <w:spacing w:line="360" w:lineRule="auto"/>
        <w:ind w:firstLine="56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在高校岗前培训项目中，教师的主要职能是：查看项目详情，进行项目报名。</w:t>
      </w:r>
    </w:p>
    <w:p>
      <w:pPr>
        <w:pStyle w:val="2"/>
      </w:pPr>
      <w:bookmarkStart w:id="6" w:name="_Toc32173"/>
      <w:r>
        <w:rPr>
          <w:rFonts w:hint="eastAsia"/>
        </w:rPr>
        <w:t>功能操作描述</w:t>
      </w:r>
      <w:bookmarkEnd w:id="6"/>
    </w:p>
    <w:p>
      <w:pPr>
        <w:pStyle w:val="3"/>
      </w:pPr>
      <w:bookmarkStart w:id="7" w:name="_Toc30457"/>
      <w:r>
        <w:rPr>
          <w:rFonts w:hint="eastAsia"/>
        </w:rPr>
        <w:t>进入高校岗前培训项目界面</w:t>
      </w:r>
      <w:bookmarkEnd w:id="7"/>
    </w:p>
    <w:p>
      <w:pPr>
        <w:spacing w:line="360" w:lineRule="auto"/>
        <w:ind w:firstLine="56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第一步：点击“高校培训”，进入界面。</w:t>
      </w:r>
    </w:p>
    <w:p>
      <w:pPr>
        <w:spacing w:line="360" w:lineRule="auto"/>
        <w:jc w:val="left"/>
      </w:pPr>
      <w:r>
        <w:rPr>
          <w:rFonts w:hint="eastAsia"/>
        </w:rPr>
        <w:drawing>
          <wp:inline distT="0" distB="0" distL="114300" distR="114300">
            <wp:extent cx="5266690" cy="1744980"/>
            <wp:effectExtent l="0" t="0" r="10160" b="7620"/>
            <wp:docPr id="3" name="图片 3" descr="微信截图_20230619152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截图_2023061915282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74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</w:pPr>
      <w:r>
        <w:drawing>
          <wp:inline distT="0" distB="0" distL="0" distR="0">
            <wp:extent cx="5274310" cy="2813685"/>
            <wp:effectExtent l="0" t="0" r="2540" b="571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</w:pPr>
    </w:p>
    <w:p>
      <w:pPr>
        <w:pStyle w:val="3"/>
      </w:pPr>
      <w:bookmarkStart w:id="8" w:name="_Toc17063"/>
      <w:r>
        <w:rPr>
          <w:rFonts w:hint="eastAsia"/>
        </w:rPr>
        <w:t>项目报名</w:t>
      </w:r>
      <w:bookmarkEnd w:id="8"/>
    </w:p>
    <w:p>
      <w:pPr>
        <w:spacing w:line="360" w:lineRule="auto"/>
        <w:jc w:val="center"/>
        <w:rPr>
          <w:b/>
          <w:bCs/>
        </w:rPr>
      </w:pPr>
      <w:r>
        <w:rPr>
          <w:rFonts w:hint="eastAsia"/>
          <w:b/>
          <w:bCs/>
        </w:rPr>
        <w:t>项目报名流程为：教师报名→学校管理员确认→培训机构终审</w:t>
      </w:r>
    </w:p>
    <w:p>
      <w:pPr>
        <w:spacing w:line="360" w:lineRule="auto"/>
        <w:rPr>
          <w:rFonts w:hint="eastAsia"/>
          <w:b/>
          <w:bCs/>
        </w:rPr>
      </w:pPr>
    </w:p>
    <w:p>
      <w:pPr>
        <w:spacing w:line="360" w:lineRule="auto"/>
        <w:ind w:firstLine="560" w:firstLineChars="200"/>
      </w:pPr>
      <w:r>
        <w:rPr>
          <w:rFonts w:hint="eastAsia"/>
        </w:rPr>
        <w:t>在列表中选择可进行报名的项目，点击【报名】按钮，查看项目信息以及报名确认。</w:t>
      </w:r>
    </w:p>
    <w:p>
      <w:pPr>
        <w:spacing w:line="360" w:lineRule="auto"/>
      </w:pPr>
      <w:r>
        <w:drawing>
          <wp:inline distT="0" distB="0" distL="0" distR="0">
            <wp:extent cx="5274310" cy="2637155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</w:pPr>
    </w:p>
    <w:p>
      <w:pPr>
        <w:spacing w:line="360" w:lineRule="auto"/>
        <w:ind w:firstLine="560" w:firstLineChars="200"/>
      </w:pPr>
      <w:r>
        <w:rPr>
          <w:rFonts w:hint="eastAsia"/>
        </w:rPr>
        <w:t>点击后，在弹窗内可浏览项目详情以及报名。</w:t>
      </w:r>
    </w:p>
    <w:p>
      <w:pPr>
        <w:spacing w:line="360" w:lineRule="auto"/>
      </w:pPr>
      <w:r>
        <w:drawing>
          <wp:inline distT="0" distB="0" distL="0" distR="0">
            <wp:extent cx="5274310" cy="2760980"/>
            <wp:effectExtent l="0" t="0" r="2540" b="127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b/>
          <w:bCs/>
        </w:rPr>
      </w:pPr>
    </w:p>
    <w:p>
      <w:pPr>
        <w:spacing w:line="360" w:lineRule="auto"/>
        <w:rPr>
          <w:b/>
          <w:bCs/>
        </w:rPr>
      </w:pPr>
      <w:r>
        <w:rPr>
          <w:rFonts w:hint="eastAsia"/>
          <w:b/>
          <w:bCs/>
        </w:rPr>
        <w:t>报名填写信息，注意以下问题：</w:t>
      </w:r>
    </w:p>
    <w:p>
      <w:pPr>
        <w:pStyle w:val="24"/>
        <w:numPr>
          <w:ilvl w:val="0"/>
          <w:numId w:val="3"/>
        </w:numPr>
        <w:spacing w:line="360" w:lineRule="auto"/>
        <w:ind w:firstLineChars="0"/>
      </w:pPr>
      <w:r>
        <w:rPr>
          <w:rFonts w:hint="eastAsia"/>
        </w:rPr>
        <w:t>如有二级部门，请选择可以更快通过审批，不选择则需总校管理员审核。</w:t>
      </w:r>
    </w:p>
    <w:p>
      <w:pPr>
        <w:spacing w:line="360" w:lineRule="auto"/>
      </w:pPr>
      <w:r>
        <w:drawing>
          <wp:inline distT="0" distB="0" distL="0" distR="0">
            <wp:extent cx="5274310" cy="2005965"/>
            <wp:effectExtent l="0" t="0" r="2540" b="0"/>
            <wp:docPr id="11646930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693049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0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/>
        </w:rPr>
      </w:pPr>
    </w:p>
    <w:p>
      <w:pPr>
        <w:pStyle w:val="24"/>
        <w:numPr>
          <w:ilvl w:val="0"/>
          <w:numId w:val="3"/>
        </w:numPr>
        <w:spacing w:line="360" w:lineRule="auto"/>
        <w:ind w:firstLineChars="0"/>
      </w:pPr>
      <w:r>
        <w:rPr>
          <w:rFonts w:hint="eastAsia"/>
        </w:rPr>
        <w:t>核对报名信息包括手机号及个人头像，头像将作为证书照片使用，请上传证件照。</w:t>
      </w:r>
    </w:p>
    <w:p>
      <w:pPr>
        <w:spacing w:line="360" w:lineRule="auto"/>
      </w:pPr>
      <w:r>
        <w:drawing>
          <wp:inline distT="0" distB="0" distL="0" distR="0">
            <wp:extent cx="5274310" cy="2481580"/>
            <wp:effectExtent l="0" t="0" r="2540" b="0"/>
            <wp:docPr id="19745575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557515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</w:pPr>
    </w:p>
    <w:p>
      <w:pPr>
        <w:spacing w:line="360" w:lineRule="auto"/>
        <w:ind w:firstLine="560" w:firstLineChars="200"/>
      </w:pPr>
      <w:r>
        <w:rPr>
          <w:rFonts w:hint="eastAsia"/>
        </w:rPr>
        <w:t>【小技巧】：如果显示太小，可通过弹窗右上角，点击放大进行观看。</w:t>
      </w:r>
    </w:p>
    <w:p>
      <w:pPr>
        <w:spacing w:line="360" w:lineRule="auto"/>
        <w:jc w:val="center"/>
      </w:pPr>
      <w:r>
        <w:drawing>
          <wp:inline distT="0" distB="0" distL="0" distR="0">
            <wp:extent cx="5274310" cy="2637155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560" w:firstLineChars="200"/>
      </w:pPr>
    </w:p>
    <w:p>
      <w:pPr>
        <w:spacing w:line="360" w:lineRule="auto"/>
        <w:ind w:firstLine="560" w:firstLineChars="200"/>
      </w:pPr>
      <w:r>
        <w:rPr>
          <w:rFonts w:hint="eastAsia"/>
        </w:rPr>
        <w:t>在了解项目内容后，确认个人信息以及选择二级部门、课程后，在页面下方【申请报名】进行提交报名。</w:t>
      </w:r>
    </w:p>
    <w:p>
      <w:pPr>
        <w:spacing w:line="360" w:lineRule="auto"/>
      </w:pPr>
      <w:r>
        <w:drawing>
          <wp:inline distT="0" distB="0" distL="0" distR="0">
            <wp:extent cx="5274310" cy="3096895"/>
            <wp:effectExtent l="0" t="0" r="2540" b="825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</w:pPr>
      <w:r>
        <w:drawing>
          <wp:inline distT="0" distB="0" distL="0" distR="0">
            <wp:extent cx="5274310" cy="2523490"/>
            <wp:effectExtent l="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560" w:firstLineChars="200"/>
      </w:pPr>
      <w:r>
        <w:rPr>
          <w:rFonts w:hint="eastAsia"/>
        </w:rPr>
        <w:t>报名成功后，可通过点击查看，来查询审核流程。</w:t>
      </w:r>
    </w:p>
    <w:p>
      <w:pPr>
        <w:spacing w:line="360" w:lineRule="auto"/>
      </w:pPr>
      <w:r>
        <w:drawing>
          <wp:inline distT="0" distB="0" distL="114300" distR="114300">
            <wp:extent cx="5266690" cy="2655570"/>
            <wp:effectExtent l="0" t="0" r="10160" b="1143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5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560" w:firstLineChars="200"/>
        <w:rPr>
          <w:color w:val="FF0000"/>
        </w:rPr>
      </w:pPr>
      <w:r>
        <w:rPr>
          <w:rFonts w:hint="eastAsia"/>
          <w:color w:val="FF0000"/>
        </w:rPr>
        <w:t>报名过程问题解答：</w:t>
      </w:r>
    </w:p>
    <w:p>
      <w:pPr>
        <w:spacing w:line="360" w:lineRule="auto"/>
        <w:ind w:firstLine="560" w:firstLineChars="200"/>
        <w:rPr>
          <w:color w:val="FF0000"/>
        </w:rPr>
      </w:pPr>
      <w:r>
        <w:rPr>
          <w:rFonts w:hint="eastAsia"/>
          <w:color w:val="FF0000"/>
        </w:rPr>
        <w:t>1、报名不通过时，允放重新点击报名再进行报名，需要学校重新审核；</w:t>
      </w:r>
    </w:p>
    <w:p>
      <w:pPr>
        <w:spacing w:line="360" w:lineRule="auto"/>
      </w:pPr>
      <w:r>
        <w:drawing>
          <wp:inline distT="0" distB="0" distL="0" distR="0">
            <wp:extent cx="5274310" cy="2211705"/>
            <wp:effectExtent l="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1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560" w:firstLineChars="200"/>
        <w:rPr>
          <w:color w:val="FF0000"/>
        </w:rPr>
      </w:pPr>
      <w:r>
        <w:rPr>
          <w:rFonts w:hint="eastAsia"/>
          <w:color w:val="FF0000"/>
        </w:rPr>
        <w:t>2、若参加的培训已有成绩录入的课程，会有重复选课的提示，但可继续报读此课程，课程将以最高成绩登记入证书。</w:t>
      </w:r>
    </w:p>
    <w:p>
      <w:pPr>
        <w:spacing w:line="360" w:lineRule="auto"/>
      </w:pPr>
      <w:r>
        <w:rPr>
          <w:rFonts w:ascii="宋体" w:hAnsi="宋体" w:cs="宋体"/>
          <w:sz w:val="24"/>
          <w:szCs w:val="24"/>
        </w:rPr>
        <w:drawing>
          <wp:inline distT="0" distB="0" distL="114300" distR="114300">
            <wp:extent cx="5276215" cy="3084830"/>
            <wp:effectExtent l="0" t="0" r="635" b="1270"/>
            <wp:docPr id="15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 descr="IMG_25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3084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9" w:name="_Toc218"/>
      <w:r>
        <w:rPr>
          <w:rFonts w:hint="eastAsia"/>
        </w:rPr>
        <w:t>查看我的培训</w:t>
      </w:r>
      <w:bookmarkEnd w:id="9"/>
    </w:p>
    <w:p>
      <w:pPr>
        <w:spacing w:line="360" w:lineRule="auto"/>
        <w:ind w:firstLine="560" w:firstLineChars="200"/>
      </w:pPr>
      <w:r>
        <w:rPr>
          <w:rFonts w:hint="eastAsia"/>
        </w:rPr>
        <w:t>点击【查看我的培训】按钮，查看已报名的培训及已完成课程成绩，如下图。</w:t>
      </w:r>
    </w:p>
    <w:p>
      <w:pPr>
        <w:spacing w:line="360" w:lineRule="auto"/>
      </w:pPr>
      <w:r>
        <w:drawing>
          <wp:inline distT="0" distB="0" distL="114300" distR="114300">
            <wp:extent cx="5266690" cy="2655570"/>
            <wp:effectExtent l="0" t="0" r="10160" b="11430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5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</w:pPr>
      <w:r>
        <w:drawing>
          <wp:inline distT="0" distB="0" distL="114300" distR="114300">
            <wp:extent cx="5271135" cy="3014980"/>
            <wp:effectExtent l="0" t="0" r="5715" b="13970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01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562" w:firstLineChars="200"/>
        <w:rPr>
          <w:rFonts w:ascii="宋体" w:hAnsi="宋体" w:cs="宋体"/>
          <w:b/>
          <w:bCs/>
          <w:color w:val="D9001B"/>
        </w:rPr>
      </w:pPr>
      <w:r>
        <w:rPr>
          <w:rFonts w:hint="eastAsia" w:ascii="宋体" w:hAnsi="宋体" w:cs="宋体"/>
          <w:b/>
          <w:bCs/>
          <w:color w:val="D9001B"/>
        </w:rPr>
        <w:t>完训及学时登记须知：</w:t>
      </w:r>
    </w:p>
    <w:p>
      <w:pPr>
        <w:spacing w:line="360" w:lineRule="auto"/>
        <w:ind w:firstLine="560" w:firstLineChars="200"/>
        <w:rPr>
          <w:rFonts w:ascii="宋体" w:hAnsi="宋体" w:cs="宋体"/>
          <w:color w:val="D9001B"/>
        </w:rPr>
      </w:pPr>
      <w:r>
        <w:rPr>
          <w:rFonts w:hint="eastAsia" w:ascii="宋体" w:hAnsi="宋体" w:cs="宋体"/>
          <w:color w:val="D9001B"/>
        </w:rPr>
        <w:t>1．岗前培训必须取得高等教育学，高等教育心理学，高等学校教师职业道德修养、高等教育法规概论、现代教育技术学、教育教学技能、返岗教研共7门课程合格即为通过岗前培训，师培中心进行审核通过后可获得学时及证书。</w:t>
      </w:r>
    </w:p>
    <w:p>
      <w:pPr>
        <w:spacing w:line="360" w:lineRule="auto"/>
        <w:ind w:firstLine="560" w:firstLineChars="200"/>
        <w:rPr>
          <w:rFonts w:ascii="宋体" w:hAnsi="宋体" w:cs="宋体"/>
        </w:rPr>
      </w:pPr>
      <w:r>
        <w:rPr>
          <w:rFonts w:hint="eastAsia" w:ascii="宋体" w:hAnsi="宋体" w:cs="宋体"/>
          <w:color w:val="D9001B"/>
        </w:rPr>
        <w:t>2．学时按年度最后一次完成的项目年度登记年度学时。</w:t>
      </w:r>
    </w:p>
    <w:p>
      <w:pPr>
        <w:pStyle w:val="3"/>
      </w:pPr>
      <w:bookmarkStart w:id="10" w:name="_Toc19131"/>
      <w:r>
        <w:rPr>
          <w:rFonts w:hint="eastAsia"/>
        </w:rPr>
        <w:t>查询筛选</w:t>
      </w:r>
      <w:bookmarkEnd w:id="10"/>
      <w:r>
        <w:rPr>
          <w:rFonts w:hint="eastAsia"/>
        </w:rPr>
        <w:t>操作</w:t>
      </w:r>
    </w:p>
    <w:p>
      <w:pPr>
        <w:spacing w:line="360" w:lineRule="auto"/>
        <w:ind w:firstLine="560" w:firstLineChars="200"/>
      </w:pPr>
      <w:r>
        <w:rPr>
          <w:rFonts w:hint="eastAsia"/>
        </w:rPr>
        <w:t>教师报名时可通过[年度]、[培训机构]、[两学培训]、[项目状态]、[报名状态]等字段进行查询项目。</w:t>
      </w:r>
    </w:p>
    <w:p>
      <w:pPr>
        <w:spacing w:line="360" w:lineRule="auto"/>
      </w:pPr>
      <w:r>
        <w:drawing>
          <wp:inline distT="0" distB="0" distL="0" distR="0">
            <wp:extent cx="5274310" cy="2482215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hAnsi="宋体" w:cs="宋体"/>
          <w:color w:val="D9001B"/>
        </w:rPr>
      </w:pPr>
      <w:r>
        <w:rPr>
          <w:rFonts w:hint="eastAsia" w:ascii="宋体" w:hAnsi="宋体" w:cs="宋体"/>
          <w:color w:val="D9001B"/>
        </w:rPr>
        <w:t>操作提示：</w:t>
      </w:r>
    </w:p>
    <w:p>
      <w:pPr>
        <w:pStyle w:val="24"/>
        <w:numPr>
          <w:ilvl w:val="0"/>
          <w:numId w:val="4"/>
        </w:numPr>
        <w:spacing w:line="360" w:lineRule="auto"/>
        <w:ind w:firstLineChars="0"/>
        <w:rPr>
          <w:rFonts w:ascii="宋体" w:hAnsi="宋体" w:cs="宋体"/>
          <w:color w:val="D9001B"/>
        </w:rPr>
      </w:pPr>
      <w:r>
        <w:rPr>
          <w:rFonts w:hint="eastAsia" w:ascii="宋体" w:hAnsi="宋体" w:cs="宋体"/>
          <w:color w:val="D9001B"/>
        </w:rPr>
        <w:t>[两学培训]查询项目是否属于两学的培训</w:t>
      </w:r>
    </w:p>
    <w:p>
      <w:pPr>
        <w:pStyle w:val="24"/>
        <w:numPr>
          <w:ilvl w:val="0"/>
          <w:numId w:val="4"/>
        </w:numPr>
        <w:spacing w:line="360" w:lineRule="auto"/>
        <w:ind w:firstLineChars="0"/>
        <w:rPr>
          <w:rFonts w:ascii="宋体" w:hAnsi="宋体" w:cs="宋体"/>
          <w:color w:val="D9001B"/>
        </w:rPr>
      </w:pPr>
      <w:r>
        <w:rPr>
          <w:rFonts w:hint="eastAsia" w:ascii="宋体" w:hAnsi="宋体" w:cs="宋体"/>
          <w:color w:val="D9001B"/>
        </w:rPr>
        <w:t>[项目状态]有未开始、进行中、已结束三种状态，根据报名时间显示</w:t>
      </w:r>
    </w:p>
    <w:p>
      <w:pPr>
        <w:pStyle w:val="24"/>
        <w:numPr>
          <w:ilvl w:val="0"/>
          <w:numId w:val="4"/>
        </w:numPr>
        <w:spacing w:line="360" w:lineRule="auto"/>
        <w:ind w:firstLineChars="0"/>
        <w:rPr>
          <w:rFonts w:ascii="宋体" w:hAnsi="宋体" w:cs="宋体"/>
          <w:color w:val="D9001B"/>
        </w:rPr>
      </w:pPr>
      <w:r>
        <w:rPr>
          <w:rFonts w:hint="eastAsia" w:ascii="宋体" w:hAnsi="宋体" w:cs="宋体"/>
          <w:color w:val="D9001B"/>
        </w:rPr>
        <w:t>[报名状态]：</w:t>
      </w:r>
    </w:p>
    <w:p>
      <w:pPr>
        <w:pStyle w:val="24"/>
        <w:numPr>
          <w:ilvl w:val="0"/>
          <w:numId w:val="5"/>
        </w:numPr>
        <w:spacing w:line="360" w:lineRule="auto"/>
        <w:ind w:firstLineChars="0"/>
        <w:rPr>
          <w:rFonts w:ascii="宋体" w:hAnsi="宋体" w:cs="宋体"/>
          <w:color w:val="D9001B"/>
        </w:rPr>
      </w:pPr>
      <w:r>
        <w:rPr>
          <w:rFonts w:hint="eastAsia" w:ascii="宋体" w:hAnsi="宋体" w:cs="宋体"/>
          <w:color w:val="D9001B"/>
        </w:rPr>
        <w:t>未报名：教师未报名该项目 ；</w:t>
      </w:r>
    </w:p>
    <w:p>
      <w:pPr>
        <w:pStyle w:val="24"/>
        <w:numPr>
          <w:ilvl w:val="0"/>
          <w:numId w:val="5"/>
        </w:numPr>
        <w:spacing w:line="360" w:lineRule="auto"/>
        <w:ind w:firstLineChars="0"/>
        <w:rPr>
          <w:rFonts w:ascii="宋体" w:hAnsi="宋体" w:cs="宋体"/>
          <w:color w:val="D9001B"/>
        </w:rPr>
      </w:pPr>
      <w:r>
        <w:rPr>
          <w:rFonts w:hint="eastAsia" w:ascii="宋体" w:hAnsi="宋体" w:cs="宋体"/>
          <w:color w:val="D9001B"/>
        </w:rPr>
        <w:t xml:space="preserve">待学校审核：教师已报名项目，待所在学校确认审核； </w:t>
      </w:r>
    </w:p>
    <w:p>
      <w:pPr>
        <w:pStyle w:val="24"/>
        <w:numPr>
          <w:ilvl w:val="0"/>
          <w:numId w:val="5"/>
        </w:numPr>
        <w:spacing w:line="360" w:lineRule="auto"/>
        <w:ind w:firstLineChars="0"/>
        <w:rPr>
          <w:rFonts w:ascii="宋体" w:hAnsi="宋体" w:cs="宋体"/>
          <w:color w:val="D9001B"/>
        </w:rPr>
      </w:pPr>
      <w:r>
        <w:rPr>
          <w:rFonts w:hint="eastAsia" w:ascii="宋体" w:hAnsi="宋体" w:cs="宋体"/>
          <w:color w:val="D9001B"/>
        </w:rPr>
        <w:t>待机构审核：该教师报名的项目学校审核已通过，待培训机构审核 ；</w:t>
      </w:r>
    </w:p>
    <w:p>
      <w:pPr>
        <w:pStyle w:val="24"/>
        <w:numPr>
          <w:ilvl w:val="0"/>
          <w:numId w:val="5"/>
        </w:numPr>
        <w:spacing w:line="360" w:lineRule="auto"/>
        <w:ind w:firstLineChars="0"/>
        <w:rPr>
          <w:rFonts w:ascii="宋体" w:hAnsi="宋体" w:cs="宋体"/>
          <w:color w:val="D9001B"/>
        </w:rPr>
      </w:pPr>
      <w:r>
        <w:rPr>
          <w:rFonts w:hint="eastAsia" w:ascii="宋体" w:hAnsi="宋体" w:cs="宋体"/>
          <w:color w:val="D9001B"/>
        </w:rPr>
        <w:t>已通过（已报名）：该教师报名的项目已完成审核 ；</w:t>
      </w:r>
    </w:p>
    <w:p>
      <w:pPr>
        <w:pStyle w:val="24"/>
        <w:numPr>
          <w:ilvl w:val="0"/>
          <w:numId w:val="5"/>
        </w:numPr>
        <w:spacing w:line="360" w:lineRule="auto"/>
        <w:ind w:firstLineChars="0"/>
        <w:rPr>
          <w:rFonts w:ascii="宋体" w:hAnsi="宋体" w:cs="宋体"/>
          <w:color w:val="D9001B"/>
        </w:rPr>
      </w:pPr>
      <w:r>
        <w:rPr>
          <w:rFonts w:hint="eastAsia" w:ascii="宋体" w:hAnsi="宋体" w:cs="宋体"/>
          <w:color w:val="D9001B"/>
        </w:rPr>
        <w:t>不通过：该教师报名的项目学校</w:t>
      </w:r>
      <w:r>
        <w:rPr>
          <w:rFonts w:ascii="宋体" w:hAnsi="宋体" w:cs="宋体"/>
          <w:color w:val="D9001B"/>
        </w:rPr>
        <w:t>\</w:t>
      </w:r>
      <w:r>
        <w:rPr>
          <w:rFonts w:hint="eastAsia" w:ascii="宋体" w:hAnsi="宋体" w:cs="宋体"/>
          <w:color w:val="D9001B"/>
        </w:rPr>
        <w:t xml:space="preserve">培训机构审核不通过； </w:t>
      </w:r>
    </w:p>
    <w:p>
      <w:pPr>
        <w:pStyle w:val="24"/>
        <w:numPr>
          <w:ilvl w:val="0"/>
          <w:numId w:val="5"/>
        </w:numPr>
        <w:spacing w:line="360" w:lineRule="auto"/>
        <w:ind w:firstLineChars="0"/>
        <w:rPr>
          <w:rFonts w:ascii="宋体" w:hAnsi="宋体" w:cs="宋体"/>
          <w:color w:val="D9001B"/>
        </w:rPr>
      </w:pPr>
      <w:r>
        <w:rPr>
          <w:rFonts w:hint="eastAsia" w:ascii="宋体" w:hAnsi="宋体" w:cs="宋体"/>
          <w:color w:val="D9001B"/>
        </w:rPr>
        <w:t>已退训：该教师报名项目已完成审核，但不参加培训，培训机构对该报名进行退训处理</w:t>
      </w:r>
    </w:p>
    <w:p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/>
        </w:rPr>
        <w:t xml:space="preserve"> </w:t>
      </w:r>
    </w:p>
    <w:p>
      <w:pPr>
        <w:spacing w:line="360" w:lineRule="auto"/>
      </w:pPr>
    </w:p>
    <w:p>
      <w:pPr>
        <w:spacing w:line="360" w:lineRule="auto"/>
      </w:pPr>
    </w:p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10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a6G08EBAACO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pt6AolcdzixC8/f1x+/bn8/k6W&#10;WZ8+QI1p9wET0/DOD7g1sx/QmWkPKtr8RUIE4wh1vqorh0REfrRerdcVhgTG5gvis4fnIUJ6L70l&#10;2WhoxPEVVfnpI6QxdU7J1Zy/08aUERr3jwMxs4fl3sces5WG/TAR2vv2jHx6nHxDHS46JeaDQ2Gx&#10;vzQbcTb2k5FrQLg9Jixc+smoI9RUDMdUGE0rlffg8b1kPfxG27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DOqXm5zwAAAAUBAAAPAAAAAAAAAAEAIAAAACIAAABkcnMvZG93bnJldi54bWxQSwECFAAU&#10;AAAACACHTuJAca6G08EBAACOAwAADgAAAAAAAAABACAAAAAeAQAAZHJzL2Uyb0RvYy54bWxQSwUG&#10;AAAAAAYABgBZAQAAU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10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single" w:color="auto" w:sz="4" w:space="1"/>
      </w:pBdr>
      <w:rPr>
        <w:rFonts w:ascii="仿宋" w:hAnsi="仿宋" w:eastAsia="仿宋"/>
        <w:sz w:val="21"/>
        <w:szCs w:val="21"/>
      </w:rPr>
    </w:pPr>
    <w:r>
      <w:rPr>
        <w:rFonts w:hint="eastAsia" w:ascii="仿宋" w:hAnsi="仿宋" w:eastAsia="仿宋"/>
        <w:sz w:val="21"/>
        <w:szCs w:val="21"/>
      </w:rPr>
      <w:t>广东省教师继续教育信息管理平台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EB210C"/>
    <w:multiLevelType w:val="multilevel"/>
    <w:tmpl w:val="0DEB210C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2D247B7B"/>
    <w:multiLevelType w:val="multilevel"/>
    <w:tmpl w:val="2D247B7B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3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4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2">
    <w:nsid w:val="37CB0E9B"/>
    <w:multiLevelType w:val="singleLevel"/>
    <w:tmpl w:val="37CB0E9B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4D8E789A"/>
    <w:multiLevelType w:val="multilevel"/>
    <w:tmpl w:val="4D8E789A"/>
    <w:lvl w:ilvl="0" w:tentative="0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40"/>
      </w:pPr>
    </w:lvl>
    <w:lvl w:ilvl="2" w:tentative="0">
      <w:start w:val="1"/>
      <w:numFmt w:val="lowerRoman"/>
      <w:lvlText w:val="%3."/>
      <w:lvlJc w:val="right"/>
      <w:pPr>
        <w:ind w:left="1760" w:hanging="440"/>
      </w:pPr>
    </w:lvl>
    <w:lvl w:ilvl="3" w:tentative="0">
      <w:start w:val="1"/>
      <w:numFmt w:val="decimal"/>
      <w:lvlText w:val="%4."/>
      <w:lvlJc w:val="left"/>
      <w:pPr>
        <w:ind w:left="2200" w:hanging="440"/>
      </w:pPr>
    </w:lvl>
    <w:lvl w:ilvl="4" w:tentative="0">
      <w:start w:val="1"/>
      <w:numFmt w:val="lowerLetter"/>
      <w:lvlText w:val="%5)"/>
      <w:lvlJc w:val="left"/>
      <w:pPr>
        <w:ind w:left="2640" w:hanging="440"/>
      </w:pPr>
    </w:lvl>
    <w:lvl w:ilvl="5" w:tentative="0">
      <w:start w:val="1"/>
      <w:numFmt w:val="lowerRoman"/>
      <w:lvlText w:val="%6."/>
      <w:lvlJc w:val="right"/>
      <w:pPr>
        <w:ind w:left="3080" w:hanging="440"/>
      </w:pPr>
    </w:lvl>
    <w:lvl w:ilvl="6" w:tentative="0">
      <w:start w:val="1"/>
      <w:numFmt w:val="decimal"/>
      <w:lvlText w:val="%7."/>
      <w:lvlJc w:val="left"/>
      <w:pPr>
        <w:ind w:left="3520" w:hanging="440"/>
      </w:pPr>
    </w:lvl>
    <w:lvl w:ilvl="7" w:tentative="0">
      <w:start w:val="1"/>
      <w:numFmt w:val="lowerLetter"/>
      <w:lvlText w:val="%8)"/>
      <w:lvlJc w:val="left"/>
      <w:pPr>
        <w:ind w:left="3960" w:hanging="440"/>
      </w:pPr>
    </w:lvl>
    <w:lvl w:ilvl="8" w:tentative="0">
      <w:start w:val="1"/>
      <w:numFmt w:val="lowerRoman"/>
      <w:lvlText w:val="%9."/>
      <w:lvlJc w:val="right"/>
      <w:pPr>
        <w:ind w:left="4400" w:hanging="440"/>
      </w:pPr>
    </w:lvl>
  </w:abstractNum>
  <w:abstractNum w:abstractNumId="4">
    <w:nsid w:val="5B27366F"/>
    <w:multiLevelType w:val="multilevel"/>
    <w:tmpl w:val="5B27366F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yNjdlYjE0ZjljYmU1M2I1NjhiNTBkZWNhNWNiZmIifQ=="/>
  </w:docVars>
  <w:rsids>
    <w:rsidRoot w:val="00172A27"/>
    <w:rsid w:val="00043707"/>
    <w:rsid w:val="0004722F"/>
    <w:rsid w:val="0005485B"/>
    <w:rsid w:val="00070DD2"/>
    <w:rsid w:val="00075FCF"/>
    <w:rsid w:val="000B1A80"/>
    <w:rsid w:val="000D0415"/>
    <w:rsid w:val="0011072E"/>
    <w:rsid w:val="001303AC"/>
    <w:rsid w:val="00137F10"/>
    <w:rsid w:val="00147E44"/>
    <w:rsid w:val="00172A27"/>
    <w:rsid w:val="00176DD9"/>
    <w:rsid w:val="001943F0"/>
    <w:rsid w:val="001A6AD8"/>
    <w:rsid w:val="001A70AE"/>
    <w:rsid w:val="001A7830"/>
    <w:rsid w:val="001A7FF5"/>
    <w:rsid w:val="001B76A1"/>
    <w:rsid w:val="001C51EF"/>
    <w:rsid w:val="0020377A"/>
    <w:rsid w:val="002476AC"/>
    <w:rsid w:val="00250813"/>
    <w:rsid w:val="00257C5A"/>
    <w:rsid w:val="002767FB"/>
    <w:rsid w:val="002907CC"/>
    <w:rsid w:val="00297822"/>
    <w:rsid w:val="002A1696"/>
    <w:rsid w:val="002B7405"/>
    <w:rsid w:val="002C3D28"/>
    <w:rsid w:val="002C79A5"/>
    <w:rsid w:val="002D340D"/>
    <w:rsid w:val="002E327C"/>
    <w:rsid w:val="002F7351"/>
    <w:rsid w:val="00325CEA"/>
    <w:rsid w:val="003302B5"/>
    <w:rsid w:val="00332B3B"/>
    <w:rsid w:val="00363905"/>
    <w:rsid w:val="00373841"/>
    <w:rsid w:val="00376FA5"/>
    <w:rsid w:val="00380FD5"/>
    <w:rsid w:val="00394C78"/>
    <w:rsid w:val="0039786B"/>
    <w:rsid w:val="003C319C"/>
    <w:rsid w:val="003C4D04"/>
    <w:rsid w:val="003D3010"/>
    <w:rsid w:val="003E15DA"/>
    <w:rsid w:val="003E2B71"/>
    <w:rsid w:val="00405B83"/>
    <w:rsid w:val="0043126D"/>
    <w:rsid w:val="00473AF7"/>
    <w:rsid w:val="004805FE"/>
    <w:rsid w:val="00480A4F"/>
    <w:rsid w:val="004873CE"/>
    <w:rsid w:val="004B692F"/>
    <w:rsid w:val="004D1656"/>
    <w:rsid w:val="004F3281"/>
    <w:rsid w:val="005127F2"/>
    <w:rsid w:val="0051482A"/>
    <w:rsid w:val="00522364"/>
    <w:rsid w:val="0053496C"/>
    <w:rsid w:val="00540034"/>
    <w:rsid w:val="0054655F"/>
    <w:rsid w:val="00551BD9"/>
    <w:rsid w:val="00551E03"/>
    <w:rsid w:val="00561992"/>
    <w:rsid w:val="005B5873"/>
    <w:rsid w:val="005C7367"/>
    <w:rsid w:val="005C7BD0"/>
    <w:rsid w:val="005E63C2"/>
    <w:rsid w:val="005F3C28"/>
    <w:rsid w:val="0061456C"/>
    <w:rsid w:val="00616C35"/>
    <w:rsid w:val="00617BFB"/>
    <w:rsid w:val="00635B27"/>
    <w:rsid w:val="0063652E"/>
    <w:rsid w:val="00661392"/>
    <w:rsid w:val="006959D0"/>
    <w:rsid w:val="006A693E"/>
    <w:rsid w:val="006A6C8B"/>
    <w:rsid w:val="006B243B"/>
    <w:rsid w:val="006B2A3F"/>
    <w:rsid w:val="006D1206"/>
    <w:rsid w:val="006D59AD"/>
    <w:rsid w:val="006E0550"/>
    <w:rsid w:val="0070447D"/>
    <w:rsid w:val="007868A9"/>
    <w:rsid w:val="007870D3"/>
    <w:rsid w:val="007A148E"/>
    <w:rsid w:val="007A7F55"/>
    <w:rsid w:val="007C03B9"/>
    <w:rsid w:val="007C3C9A"/>
    <w:rsid w:val="008140B7"/>
    <w:rsid w:val="00835464"/>
    <w:rsid w:val="00847E20"/>
    <w:rsid w:val="00853A3B"/>
    <w:rsid w:val="008642A9"/>
    <w:rsid w:val="00895722"/>
    <w:rsid w:val="008A078B"/>
    <w:rsid w:val="008A4EE0"/>
    <w:rsid w:val="008B7EE8"/>
    <w:rsid w:val="008E175E"/>
    <w:rsid w:val="008E5E9C"/>
    <w:rsid w:val="008F1E1F"/>
    <w:rsid w:val="00905C67"/>
    <w:rsid w:val="00910EC4"/>
    <w:rsid w:val="0091439F"/>
    <w:rsid w:val="00961DF2"/>
    <w:rsid w:val="009766CD"/>
    <w:rsid w:val="009927DF"/>
    <w:rsid w:val="009B1F1F"/>
    <w:rsid w:val="009B5DD5"/>
    <w:rsid w:val="009D294E"/>
    <w:rsid w:val="009E76F0"/>
    <w:rsid w:val="009F22CC"/>
    <w:rsid w:val="009F38CA"/>
    <w:rsid w:val="009F486F"/>
    <w:rsid w:val="00A134F5"/>
    <w:rsid w:val="00A3119C"/>
    <w:rsid w:val="00A33114"/>
    <w:rsid w:val="00A540C6"/>
    <w:rsid w:val="00A6610C"/>
    <w:rsid w:val="00A770E1"/>
    <w:rsid w:val="00A8602C"/>
    <w:rsid w:val="00AC16E7"/>
    <w:rsid w:val="00AD4EA7"/>
    <w:rsid w:val="00AE703A"/>
    <w:rsid w:val="00AF16EE"/>
    <w:rsid w:val="00B00647"/>
    <w:rsid w:val="00B544BC"/>
    <w:rsid w:val="00B6608F"/>
    <w:rsid w:val="00B670F7"/>
    <w:rsid w:val="00BA1F75"/>
    <w:rsid w:val="00BA53D7"/>
    <w:rsid w:val="00BD3296"/>
    <w:rsid w:val="00BE1657"/>
    <w:rsid w:val="00BE4607"/>
    <w:rsid w:val="00BE46B2"/>
    <w:rsid w:val="00BE7400"/>
    <w:rsid w:val="00C02F2F"/>
    <w:rsid w:val="00C33451"/>
    <w:rsid w:val="00C436EB"/>
    <w:rsid w:val="00C521A1"/>
    <w:rsid w:val="00C67D05"/>
    <w:rsid w:val="00C86B38"/>
    <w:rsid w:val="00CF0150"/>
    <w:rsid w:val="00CF175B"/>
    <w:rsid w:val="00D00D8F"/>
    <w:rsid w:val="00D13B3B"/>
    <w:rsid w:val="00D22E07"/>
    <w:rsid w:val="00D33B3E"/>
    <w:rsid w:val="00D402DB"/>
    <w:rsid w:val="00D41715"/>
    <w:rsid w:val="00D54886"/>
    <w:rsid w:val="00D6188B"/>
    <w:rsid w:val="00D93C75"/>
    <w:rsid w:val="00DC0236"/>
    <w:rsid w:val="00DD0234"/>
    <w:rsid w:val="00DD0598"/>
    <w:rsid w:val="00E0052A"/>
    <w:rsid w:val="00E03082"/>
    <w:rsid w:val="00E30ACA"/>
    <w:rsid w:val="00E42D7C"/>
    <w:rsid w:val="00E44DC8"/>
    <w:rsid w:val="00E50839"/>
    <w:rsid w:val="00E57FCA"/>
    <w:rsid w:val="00E722F6"/>
    <w:rsid w:val="00EB02C7"/>
    <w:rsid w:val="00EB661D"/>
    <w:rsid w:val="00ED265A"/>
    <w:rsid w:val="00EF577C"/>
    <w:rsid w:val="00F10923"/>
    <w:rsid w:val="00F11EBF"/>
    <w:rsid w:val="00F13433"/>
    <w:rsid w:val="00F46333"/>
    <w:rsid w:val="00FA025B"/>
    <w:rsid w:val="00FA6D62"/>
    <w:rsid w:val="00FF523D"/>
    <w:rsid w:val="00FF63B3"/>
    <w:rsid w:val="012F20EC"/>
    <w:rsid w:val="019B0479"/>
    <w:rsid w:val="02BB43D1"/>
    <w:rsid w:val="03FD0913"/>
    <w:rsid w:val="04086EB8"/>
    <w:rsid w:val="04B54ED9"/>
    <w:rsid w:val="04EF1EB2"/>
    <w:rsid w:val="050C545C"/>
    <w:rsid w:val="055C722A"/>
    <w:rsid w:val="05665770"/>
    <w:rsid w:val="067D2946"/>
    <w:rsid w:val="073C1A24"/>
    <w:rsid w:val="079A2CE2"/>
    <w:rsid w:val="07C4402A"/>
    <w:rsid w:val="08BC0439"/>
    <w:rsid w:val="09111809"/>
    <w:rsid w:val="09490602"/>
    <w:rsid w:val="095F38E8"/>
    <w:rsid w:val="09EE3789"/>
    <w:rsid w:val="0A0E43A7"/>
    <w:rsid w:val="0A6D649F"/>
    <w:rsid w:val="0AA0468E"/>
    <w:rsid w:val="0B4A46FD"/>
    <w:rsid w:val="0B5B3E9F"/>
    <w:rsid w:val="0C884651"/>
    <w:rsid w:val="0D116079"/>
    <w:rsid w:val="0D6F6F92"/>
    <w:rsid w:val="0DE220A0"/>
    <w:rsid w:val="0E6F24CF"/>
    <w:rsid w:val="0EAA2AED"/>
    <w:rsid w:val="0F77075A"/>
    <w:rsid w:val="10147A9E"/>
    <w:rsid w:val="116E094C"/>
    <w:rsid w:val="124C563D"/>
    <w:rsid w:val="12877E7B"/>
    <w:rsid w:val="14E97B35"/>
    <w:rsid w:val="16245C7F"/>
    <w:rsid w:val="16457D70"/>
    <w:rsid w:val="168A425A"/>
    <w:rsid w:val="180318AC"/>
    <w:rsid w:val="18405C47"/>
    <w:rsid w:val="1846671E"/>
    <w:rsid w:val="18744B90"/>
    <w:rsid w:val="18A02B75"/>
    <w:rsid w:val="18CB7354"/>
    <w:rsid w:val="18F66706"/>
    <w:rsid w:val="19000900"/>
    <w:rsid w:val="19C16273"/>
    <w:rsid w:val="1A9D2764"/>
    <w:rsid w:val="1AB26069"/>
    <w:rsid w:val="1AC02A5D"/>
    <w:rsid w:val="1AF028AB"/>
    <w:rsid w:val="1C4A5E71"/>
    <w:rsid w:val="1CA42810"/>
    <w:rsid w:val="1CEA0C39"/>
    <w:rsid w:val="1D601EFE"/>
    <w:rsid w:val="1D8679EB"/>
    <w:rsid w:val="1DC932C0"/>
    <w:rsid w:val="1DF261ED"/>
    <w:rsid w:val="1E2D5D39"/>
    <w:rsid w:val="1F501873"/>
    <w:rsid w:val="1F7D39D1"/>
    <w:rsid w:val="1F966EE4"/>
    <w:rsid w:val="1FC971F3"/>
    <w:rsid w:val="20265C33"/>
    <w:rsid w:val="20B25A3F"/>
    <w:rsid w:val="20BD758D"/>
    <w:rsid w:val="216B5AEE"/>
    <w:rsid w:val="2234143D"/>
    <w:rsid w:val="225E39F3"/>
    <w:rsid w:val="22656D51"/>
    <w:rsid w:val="22AB47A9"/>
    <w:rsid w:val="234401CD"/>
    <w:rsid w:val="234E7CEE"/>
    <w:rsid w:val="23634BA6"/>
    <w:rsid w:val="23A36523"/>
    <w:rsid w:val="243D75B4"/>
    <w:rsid w:val="253713C4"/>
    <w:rsid w:val="25B83570"/>
    <w:rsid w:val="2656034A"/>
    <w:rsid w:val="27617D18"/>
    <w:rsid w:val="28502664"/>
    <w:rsid w:val="29681C18"/>
    <w:rsid w:val="2A03175A"/>
    <w:rsid w:val="2A345318"/>
    <w:rsid w:val="2A623A25"/>
    <w:rsid w:val="2AAB2039"/>
    <w:rsid w:val="2B286C70"/>
    <w:rsid w:val="2B4A2F83"/>
    <w:rsid w:val="2BBF2B9A"/>
    <w:rsid w:val="2BC4294C"/>
    <w:rsid w:val="2BEF2A10"/>
    <w:rsid w:val="2D0E5B05"/>
    <w:rsid w:val="2D1B7886"/>
    <w:rsid w:val="2D2A4155"/>
    <w:rsid w:val="2E212FC8"/>
    <w:rsid w:val="2F012C6E"/>
    <w:rsid w:val="2FB83182"/>
    <w:rsid w:val="2FF83167"/>
    <w:rsid w:val="300B4E27"/>
    <w:rsid w:val="30B35A7D"/>
    <w:rsid w:val="31531A8E"/>
    <w:rsid w:val="31585092"/>
    <w:rsid w:val="316D3062"/>
    <w:rsid w:val="318D27D3"/>
    <w:rsid w:val="319105AC"/>
    <w:rsid w:val="31AE7726"/>
    <w:rsid w:val="322A2C9A"/>
    <w:rsid w:val="3291763F"/>
    <w:rsid w:val="32D83A7C"/>
    <w:rsid w:val="32DF6E2F"/>
    <w:rsid w:val="333936FC"/>
    <w:rsid w:val="33AC2CC2"/>
    <w:rsid w:val="34853F45"/>
    <w:rsid w:val="35A10839"/>
    <w:rsid w:val="35A742B7"/>
    <w:rsid w:val="36535EF5"/>
    <w:rsid w:val="368041F2"/>
    <w:rsid w:val="36B26FC8"/>
    <w:rsid w:val="36E97F11"/>
    <w:rsid w:val="37172C31"/>
    <w:rsid w:val="37874260"/>
    <w:rsid w:val="3826627C"/>
    <w:rsid w:val="384A5B71"/>
    <w:rsid w:val="385A2464"/>
    <w:rsid w:val="39477622"/>
    <w:rsid w:val="3A4909A3"/>
    <w:rsid w:val="3B2F64E4"/>
    <w:rsid w:val="3BA24AD7"/>
    <w:rsid w:val="3C36543A"/>
    <w:rsid w:val="3CDC0D5C"/>
    <w:rsid w:val="3D1B3B3A"/>
    <w:rsid w:val="3DF649AC"/>
    <w:rsid w:val="3DFC1B2A"/>
    <w:rsid w:val="3E59301F"/>
    <w:rsid w:val="3EAB416D"/>
    <w:rsid w:val="3EBD0657"/>
    <w:rsid w:val="3ED97D5C"/>
    <w:rsid w:val="3EFB1B23"/>
    <w:rsid w:val="3F6C6C8E"/>
    <w:rsid w:val="3F7D677B"/>
    <w:rsid w:val="3F8115BF"/>
    <w:rsid w:val="3FD910C7"/>
    <w:rsid w:val="40062638"/>
    <w:rsid w:val="409158EF"/>
    <w:rsid w:val="42485A72"/>
    <w:rsid w:val="424F3C50"/>
    <w:rsid w:val="4290149D"/>
    <w:rsid w:val="42A14722"/>
    <w:rsid w:val="42DA0A4F"/>
    <w:rsid w:val="431E0895"/>
    <w:rsid w:val="437B56FF"/>
    <w:rsid w:val="43BC0457"/>
    <w:rsid w:val="43DD02F2"/>
    <w:rsid w:val="440F1312"/>
    <w:rsid w:val="441A7C55"/>
    <w:rsid w:val="447836A5"/>
    <w:rsid w:val="448670CB"/>
    <w:rsid w:val="449D0EAA"/>
    <w:rsid w:val="44FE1162"/>
    <w:rsid w:val="45092F5E"/>
    <w:rsid w:val="45400F85"/>
    <w:rsid w:val="4569329F"/>
    <w:rsid w:val="45A5407B"/>
    <w:rsid w:val="461D1784"/>
    <w:rsid w:val="47413104"/>
    <w:rsid w:val="47506EC1"/>
    <w:rsid w:val="475D17E7"/>
    <w:rsid w:val="477A1B85"/>
    <w:rsid w:val="4790754C"/>
    <w:rsid w:val="4A0457AD"/>
    <w:rsid w:val="4A70409F"/>
    <w:rsid w:val="4A924464"/>
    <w:rsid w:val="4AAF11DB"/>
    <w:rsid w:val="4ABF2242"/>
    <w:rsid w:val="4B103F3C"/>
    <w:rsid w:val="4B8E514E"/>
    <w:rsid w:val="4C4E6E74"/>
    <w:rsid w:val="4C602039"/>
    <w:rsid w:val="4C90304A"/>
    <w:rsid w:val="4D45094C"/>
    <w:rsid w:val="4D9842A9"/>
    <w:rsid w:val="4D9A5FBD"/>
    <w:rsid w:val="4DA80FFE"/>
    <w:rsid w:val="4E0779F7"/>
    <w:rsid w:val="4E3A30A0"/>
    <w:rsid w:val="4E445962"/>
    <w:rsid w:val="4E4E0614"/>
    <w:rsid w:val="4E7A02BC"/>
    <w:rsid w:val="4EDF47C2"/>
    <w:rsid w:val="4FA818E1"/>
    <w:rsid w:val="501325AC"/>
    <w:rsid w:val="502D0391"/>
    <w:rsid w:val="507064AE"/>
    <w:rsid w:val="51232F85"/>
    <w:rsid w:val="51645727"/>
    <w:rsid w:val="51C55074"/>
    <w:rsid w:val="51F775B3"/>
    <w:rsid w:val="53A81F4C"/>
    <w:rsid w:val="53D328B7"/>
    <w:rsid w:val="53E940D3"/>
    <w:rsid w:val="54674715"/>
    <w:rsid w:val="54955C03"/>
    <w:rsid w:val="54C73613"/>
    <w:rsid w:val="561A2830"/>
    <w:rsid w:val="573D6CD6"/>
    <w:rsid w:val="57D200DE"/>
    <w:rsid w:val="57D43022"/>
    <w:rsid w:val="57EC6962"/>
    <w:rsid w:val="581716CB"/>
    <w:rsid w:val="58A015EF"/>
    <w:rsid w:val="59617D56"/>
    <w:rsid w:val="597822C8"/>
    <w:rsid w:val="5A1E166A"/>
    <w:rsid w:val="5A6F279B"/>
    <w:rsid w:val="5A912F10"/>
    <w:rsid w:val="5ADC63A7"/>
    <w:rsid w:val="5B4E7220"/>
    <w:rsid w:val="5B9B1E19"/>
    <w:rsid w:val="5BEB7F91"/>
    <w:rsid w:val="5C6D1CC6"/>
    <w:rsid w:val="5E2D1C7D"/>
    <w:rsid w:val="5E9B6416"/>
    <w:rsid w:val="5F26549B"/>
    <w:rsid w:val="5FA62278"/>
    <w:rsid w:val="5FDB3BCA"/>
    <w:rsid w:val="61E25435"/>
    <w:rsid w:val="633E1D70"/>
    <w:rsid w:val="63FF65AE"/>
    <w:rsid w:val="64371EBE"/>
    <w:rsid w:val="649268B0"/>
    <w:rsid w:val="65044D80"/>
    <w:rsid w:val="65302DDA"/>
    <w:rsid w:val="654B2EF8"/>
    <w:rsid w:val="65DB2C1C"/>
    <w:rsid w:val="65F375B5"/>
    <w:rsid w:val="660B16A1"/>
    <w:rsid w:val="66CA0453"/>
    <w:rsid w:val="671E0046"/>
    <w:rsid w:val="67620E97"/>
    <w:rsid w:val="68D512E6"/>
    <w:rsid w:val="68F57ACF"/>
    <w:rsid w:val="69657E12"/>
    <w:rsid w:val="6A71484E"/>
    <w:rsid w:val="6AEC505E"/>
    <w:rsid w:val="6AF079ED"/>
    <w:rsid w:val="6AF35996"/>
    <w:rsid w:val="6B3E55A0"/>
    <w:rsid w:val="6BB55F4A"/>
    <w:rsid w:val="6D43237D"/>
    <w:rsid w:val="6D9D12A7"/>
    <w:rsid w:val="6E10540E"/>
    <w:rsid w:val="6E285655"/>
    <w:rsid w:val="6EED6919"/>
    <w:rsid w:val="6F3E2DFF"/>
    <w:rsid w:val="6F823408"/>
    <w:rsid w:val="6F8B7BA7"/>
    <w:rsid w:val="6FDF10D8"/>
    <w:rsid w:val="705A23BF"/>
    <w:rsid w:val="70E46D6E"/>
    <w:rsid w:val="70F45FEE"/>
    <w:rsid w:val="71F13B69"/>
    <w:rsid w:val="720E7A8D"/>
    <w:rsid w:val="72636A65"/>
    <w:rsid w:val="73260C33"/>
    <w:rsid w:val="73BD5BA9"/>
    <w:rsid w:val="744D49D7"/>
    <w:rsid w:val="74527D97"/>
    <w:rsid w:val="74743357"/>
    <w:rsid w:val="74AD30E8"/>
    <w:rsid w:val="7540157B"/>
    <w:rsid w:val="75A84D65"/>
    <w:rsid w:val="75AA61F2"/>
    <w:rsid w:val="75C5135C"/>
    <w:rsid w:val="75CE49C5"/>
    <w:rsid w:val="76D2137D"/>
    <w:rsid w:val="76D26B83"/>
    <w:rsid w:val="773D3BD8"/>
    <w:rsid w:val="774D2BF6"/>
    <w:rsid w:val="77EA2935"/>
    <w:rsid w:val="7807526E"/>
    <w:rsid w:val="78406BE2"/>
    <w:rsid w:val="7875108D"/>
    <w:rsid w:val="79C9787E"/>
    <w:rsid w:val="7AC206D4"/>
    <w:rsid w:val="7B7577AC"/>
    <w:rsid w:val="7BCD21AC"/>
    <w:rsid w:val="7BF877CB"/>
    <w:rsid w:val="7C167452"/>
    <w:rsid w:val="7C394BB3"/>
    <w:rsid w:val="7C4E007A"/>
    <w:rsid w:val="7C841C84"/>
    <w:rsid w:val="7CF97403"/>
    <w:rsid w:val="7D190E9A"/>
    <w:rsid w:val="7D2156B8"/>
    <w:rsid w:val="7D284642"/>
    <w:rsid w:val="7D2D55FF"/>
    <w:rsid w:val="7D4D150C"/>
    <w:rsid w:val="7E2E68A7"/>
    <w:rsid w:val="7E4441A3"/>
    <w:rsid w:val="7E993562"/>
    <w:rsid w:val="7F376DA2"/>
    <w:rsid w:val="7FEF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仿宋"/>
      <w:kern w:val="2"/>
      <w:sz w:val="28"/>
      <w:szCs w:val="28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25"/>
    <w:qFormat/>
    <w:uiPriority w:val="0"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hAnsi="Arial" w:eastAsia="黑体"/>
      <w:b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hAnsi="Arial" w:eastAsia="黑体"/>
      <w:sz w:val="21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3"/>
    <w:basedOn w:val="1"/>
    <w:next w:val="1"/>
    <w:qFormat/>
    <w:uiPriority w:val="39"/>
    <w:pPr>
      <w:ind w:left="840" w:leftChars="400"/>
    </w:p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4">
    <w:name w:val="toc 1"/>
    <w:basedOn w:val="1"/>
    <w:next w:val="1"/>
    <w:qFormat/>
    <w:uiPriority w:val="39"/>
  </w:style>
  <w:style w:type="paragraph" w:styleId="15">
    <w:name w:val="toc 2"/>
    <w:basedOn w:val="1"/>
    <w:next w:val="1"/>
    <w:qFormat/>
    <w:uiPriority w:val="39"/>
    <w:pPr>
      <w:ind w:left="420" w:leftChars="200"/>
    </w:p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FollowedHyperlink"/>
    <w:basedOn w:val="18"/>
    <w:qFormat/>
    <w:uiPriority w:val="0"/>
    <w:rPr>
      <w:color w:val="800080"/>
      <w:u w:val="single"/>
    </w:rPr>
  </w:style>
  <w:style w:type="character" w:styleId="20">
    <w:name w:val="Hyperlink"/>
    <w:basedOn w:val="18"/>
    <w:qFormat/>
    <w:uiPriority w:val="99"/>
    <w:rPr>
      <w:color w:val="0000FF"/>
      <w:u w:val="single"/>
    </w:rPr>
  </w:style>
  <w:style w:type="paragraph" w:customStyle="1" w:styleId="21">
    <w:name w:val="WPSOffice手动目录 2"/>
    <w:qFormat/>
    <w:uiPriority w:val="0"/>
    <w:pPr>
      <w:ind w:left="200" w:leftChars="200"/>
    </w:pPr>
    <w:rPr>
      <w:rFonts w:ascii="Calibri" w:hAnsi="Calibri" w:eastAsia="宋体" w:cs="Times New Roman"/>
      <w:lang w:val="en-US" w:eastAsia="zh-CN" w:bidi="ar-SA"/>
    </w:rPr>
  </w:style>
  <w:style w:type="paragraph" w:customStyle="1" w:styleId="22">
    <w:name w:val="WPSOffice手动目录 1"/>
    <w:qFormat/>
    <w:uiPriority w:val="0"/>
    <w:rPr>
      <w:rFonts w:ascii="Calibri" w:hAnsi="Calibri" w:eastAsia="宋体" w:cs="Times New Roman"/>
      <w:lang w:val="en-US" w:eastAsia="zh-CN" w:bidi="ar-SA"/>
    </w:rPr>
  </w:style>
  <w:style w:type="paragraph" w:customStyle="1" w:styleId="23">
    <w:name w:val="WPSOffice手动目录 3"/>
    <w:qFormat/>
    <w:uiPriority w:val="0"/>
    <w:pPr>
      <w:ind w:left="400" w:leftChars="400"/>
    </w:pPr>
    <w:rPr>
      <w:rFonts w:ascii="Calibri" w:hAnsi="Calibri" w:eastAsia="宋体" w:cs="Times New Roman"/>
      <w:lang w:val="en-US" w:eastAsia="zh-CN" w:bidi="ar-SA"/>
    </w:rPr>
  </w:style>
  <w:style w:type="paragraph" w:styleId="24">
    <w:name w:val="List Paragraph"/>
    <w:basedOn w:val="1"/>
    <w:qFormat/>
    <w:uiPriority w:val="99"/>
    <w:pPr>
      <w:ind w:firstLine="420" w:firstLineChars="200"/>
    </w:pPr>
    <w:rPr>
      <w:rFonts w:eastAsia="仿宋"/>
    </w:rPr>
  </w:style>
  <w:style w:type="character" w:customStyle="1" w:styleId="25">
    <w:name w:val="标题 2 字符"/>
    <w:basedOn w:val="18"/>
    <w:link w:val="3"/>
    <w:qFormat/>
    <w:uiPriority w:val="0"/>
    <w:rPr>
      <w:rFonts w:ascii="Arial" w:hAnsi="Arial" w:eastAsia="黑体" w:cs="仿宋"/>
      <w:b/>
      <w:kern w:val="2"/>
      <w:sz w:val="32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7" Type="http://schemas.openxmlformats.org/officeDocument/2006/relationships/fontTable" Target="fontTable.xml"/><Relationship Id="rId26" Type="http://schemas.openxmlformats.org/officeDocument/2006/relationships/numbering" Target="numbering.xml"/><Relationship Id="rId25" Type="http://schemas.openxmlformats.org/officeDocument/2006/relationships/customXml" Target="../customXml/item1.xml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DoubleOX</Company>
  <Pages>14</Pages>
  <Words>335</Words>
  <Characters>1910</Characters>
  <Lines>15</Lines>
  <Paragraphs>4</Paragraphs>
  <TotalTime>57</TotalTime>
  <ScaleCrop>false</ScaleCrop>
  <LinksUpToDate>false</LinksUpToDate>
  <CharactersWithSpaces>2241</CharactersWithSpaces>
  <Application>WPS Office_12.1.0.15946_F1E327BC-269C-435d-A152-05C5408002CA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南国人事处</cp:lastModifiedBy>
  <dcterms:modified xsi:type="dcterms:W3CDTF">2024-06-21T00:47:08Z</dcterms:modified>
  <cp:revision>245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D25E0A17BCFB4F56B5D419BA773E61A4_13</vt:lpwstr>
  </property>
</Properties>
</file>