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3C71A">
      <w:pPr>
        <w:pStyle w:val="15"/>
        <w:keepNext w:val="0"/>
        <w:keepLines w:val="0"/>
        <w:pageBreakBefore w:val="0"/>
        <w:widowControl w:val="0"/>
        <w:kinsoku/>
        <w:wordWrap/>
        <w:autoSpaceDE/>
        <w:autoSpaceDN/>
        <w:bidi w:val="0"/>
        <w:adjustRightInd/>
        <w:snapToGrid/>
        <w:jc w:val="center"/>
        <w:textAlignment w:val="auto"/>
      </w:pPr>
      <mc:AlternateContent>
        <mc:Choice Requires="wpsCustomData">
          <wpsCustomData:docfieldStart id="0" docfieldname="标题_1" hidden="0" print="1" readonly="0" index="2"/>
        </mc:Choice>
      </mc:AlternateContent>
      <w:r>
        <w:t>广东外语外贸大学南国商学院“先进班集体”及“优良学风班”评选实施细则的通知</w:t>
      </w:r>
      <mc:AlternateContent>
        <mc:Choice Requires="wpsCustomData">
          <wpsCustomData:docfieldEnd id="0"/>
        </mc:Choice>
      </mc:AlternateContent>
      <w:bookmarkStart w:id="0" w:name="_GoBack"/>
      <w:bookmarkEnd w:id="0"/>
    </w:p>
    <w:p w14:paraId="64F40FC9">
      <w:pPr>
        <w:pStyle w:val="11"/>
        <w:keepNext w:val="0"/>
        <w:keepLines w:val="0"/>
        <w:pageBreakBefore w:val="0"/>
        <w:widowControl w:val="0"/>
        <w:kinsoku/>
        <w:wordWrap/>
        <w:autoSpaceDE/>
        <w:autoSpaceDN/>
        <w:bidi w:val="0"/>
        <w:adjustRightInd/>
        <w:snapToGrid/>
        <w:spacing w:beforeAutospacing="0" w:afterAutospacing="0" w:line="300" w:lineRule="exact"/>
        <w:textAlignment w:val="auto"/>
        <w:rPr>
          <w:rFonts w:hint="eastAsia"/>
          <w:lang w:eastAsia="zh-CN"/>
        </w:rPr>
      </w:pPr>
    </w:p>
    <w:p w14:paraId="6645CF7C">
      <w:pPr>
        <w:pStyle w:val="18"/>
        <w:keepNext w:val="0"/>
        <w:keepLines w:val="0"/>
        <w:pageBreakBefore w:val="0"/>
        <w:widowControl w:val="0"/>
        <w:numPr>
          <w:numId w:val="0"/>
        </w:numPr>
        <w:kinsoku/>
        <w:wordWrap/>
        <w:autoSpaceDE/>
        <w:autoSpaceDN/>
        <w:bidi w:val="0"/>
        <w:adjustRightInd/>
        <w:snapToGrid/>
        <w:ind w:leftChars="0"/>
        <w:textAlignment w:val="auto"/>
        <w:rPr>
          <w:b w:val="0"/>
          <w:bdr w:val="none" w:sz="0" w:space="0"/>
        </w:rPr>
      </w:pPr>
      <w:r>
        <w:rPr>
          <w:rFonts w:hint="eastAsia"/>
          <w:lang w:eastAsia="zh-CN"/>
        </w:rPr>
        <w:t>第一章</w:t>
      </w:r>
      <w:r>
        <w:rPr>
          <w:rFonts w:hint="eastAsia" w:ascii="仿宋" w:hAnsi="仿宋" w:eastAsia="仿宋" w:cs="仿宋"/>
          <w:bCs/>
          <w:spacing w:val="-6"/>
          <w:kern w:val="44"/>
          <w:sz w:val="32"/>
          <w:szCs w:val="32"/>
          <w:lang w:eastAsia="zh-CN" w:bidi="ar-SA"/>
        </w:rPr>
        <w:t xml:space="preserve"> </w:t>
      </w:r>
      <w:r>
        <w:t>总 则</w:t>
      </w:r>
    </w:p>
    <w:p w14:paraId="68EB220C">
      <w:pPr>
        <w:pStyle w:val="11"/>
        <w:keepNext w:val="0"/>
        <w:keepLines w:val="0"/>
        <w:pageBreakBefore w:val="0"/>
        <w:widowControl w:val="0"/>
        <w:kinsoku/>
        <w:wordWrap/>
        <w:autoSpaceDE/>
        <w:autoSpaceDN/>
        <w:bidi w:val="0"/>
        <w:adjustRightInd/>
        <w:snapToGrid/>
        <w:textAlignment w:val="auto"/>
        <w:rPr>
          <w:b/>
          <w:bCs/>
          <w:color w:val="000000"/>
          <w:sz w:val="24"/>
        </w:rPr>
      </w:pPr>
      <w:r>
        <w:rPr>
          <w:rFonts w:ascii="Times New Roman" w:hAnsi="Times New Roman" w:eastAsia="仿宋_GB2312" w:cs="仿宋_GB2312"/>
          <w:b/>
          <w:color w:val="000000"/>
          <w:sz w:val="32"/>
          <w:szCs w:val="32"/>
        </w:rPr>
        <w:t>第一条</w:t>
      </w:r>
      <w:r>
        <w:rPr>
          <w:rFonts w:ascii="Times New Roman" w:hAnsi="Times New Roman" w:eastAsia="仿宋_GB2312" w:cs="仿宋_GB2312"/>
          <w:color w:val="000000"/>
          <w:sz w:val="32"/>
          <w:szCs w:val="32"/>
        </w:rPr>
        <w:t xml:space="preserve">  为弘扬优良校风学风，引导广大学生增强集体观念，加强班级建设，共同创造朝气蓬勃、团结奋进、勤奋学习的班集体，使我校“优良学风班”及“先进班集体”评选工作制度化、规范化，根据《“先进班集体”、“优良学风班集体”的通知》，结合我院实际情况，特制定本办法。  </w:t>
      </w:r>
    </w:p>
    <w:p w14:paraId="4A4EA2EA">
      <w:pPr>
        <w:pStyle w:val="18"/>
        <w:keepNext w:val="0"/>
        <w:keepLines w:val="0"/>
        <w:pageBreakBefore w:val="0"/>
        <w:widowControl w:val="0"/>
        <w:numPr>
          <w:numId w:val="0"/>
        </w:numPr>
        <w:kinsoku/>
        <w:wordWrap/>
        <w:autoSpaceDE/>
        <w:autoSpaceDN/>
        <w:bidi w:val="0"/>
        <w:adjustRightInd/>
        <w:snapToGrid/>
        <w:ind w:leftChars="0"/>
        <w:textAlignment w:val="auto"/>
        <w:rPr>
          <w:b w:val="0"/>
          <w:bdr w:val="none" w:sz="0" w:space="0"/>
        </w:rPr>
      </w:pPr>
      <w:r>
        <w:rPr>
          <w:rFonts w:hint="eastAsia"/>
          <w:lang w:eastAsia="zh-CN"/>
        </w:rPr>
        <w:t>第二章</w:t>
      </w:r>
      <w:r>
        <w:rPr>
          <w:rFonts w:hint="eastAsia" w:ascii="仿宋" w:hAnsi="仿宋" w:eastAsia="仿宋" w:cs="仿宋"/>
          <w:bCs/>
          <w:spacing w:val="-6"/>
          <w:kern w:val="44"/>
          <w:sz w:val="32"/>
          <w:szCs w:val="32"/>
          <w:lang w:eastAsia="zh-CN" w:bidi="ar-SA"/>
        </w:rPr>
        <w:t xml:space="preserve"> </w:t>
      </w:r>
      <w:r>
        <w:t>评选范围</w:t>
      </w:r>
    </w:p>
    <w:p w14:paraId="19402AA0">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b/>
          <w:color w:val="000000"/>
          <w:sz w:val="32"/>
          <w:szCs w:val="32"/>
        </w:rPr>
        <w:t>第二条</w:t>
      </w:r>
      <w:r>
        <w:rPr>
          <w:rFonts w:ascii="Times New Roman" w:hAnsi="Times New Roman" w:eastAsia="仿宋_GB2312" w:cs="仿宋_GB2312"/>
          <w:color w:val="000000"/>
          <w:sz w:val="32"/>
          <w:szCs w:val="32"/>
        </w:rPr>
        <w:t xml:space="preserve">  按照当年《“先进班集体”、“优良学风班集体”的通知》为准。</w:t>
      </w:r>
    </w:p>
    <w:p w14:paraId="6B12A38F">
      <w:pPr>
        <w:pStyle w:val="18"/>
        <w:keepNext w:val="0"/>
        <w:keepLines w:val="0"/>
        <w:pageBreakBefore w:val="0"/>
        <w:widowControl w:val="0"/>
        <w:numPr>
          <w:numId w:val="0"/>
        </w:numPr>
        <w:kinsoku/>
        <w:wordWrap/>
        <w:autoSpaceDE/>
        <w:autoSpaceDN/>
        <w:bidi w:val="0"/>
        <w:adjustRightInd/>
        <w:snapToGrid/>
        <w:ind w:leftChars="0"/>
        <w:textAlignment w:val="auto"/>
        <w:rPr>
          <w:b w:val="0"/>
          <w:bdr w:val="none" w:sz="0" w:space="0"/>
        </w:rPr>
      </w:pPr>
      <w:r>
        <w:rPr>
          <w:rFonts w:hint="eastAsia"/>
          <w:lang w:eastAsia="zh-CN"/>
        </w:rPr>
        <w:t>第三章</w:t>
      </w:r>
      <w:r>
        <w:rPr>
          <w:rFonts w:hint="eastAsia" w:ascii="仿宋" w:hAnsi="仿宋" w:eastAsia="仿宋" w:cs="仿宋"/>
          <w:bCs/>
          <w:spacing w:val="-6"/>
          <w:kern w:val="44"/>
          <w:sz w:val="32"/>
          <w:szCs w:val="32"/>
          <w:lang w:eastAsia="zh-CN" w:bidi="ar-SA"/>
        </w:rPr>
        <w:t xml:space="preserve"> </w:t>
      </w:r>
      <w:r>
        <w:t>评选标准</w:t>
      </w:r>
    </w:p>
    <w:p w14:paraId="3DAFCF8D">
      <w:pPr>
        <w:pStyle w:val="11"/>
        <w:keepNext w:val="0"/>
        <w:keepLines w:val="0"/>
        <w:pageBreakBefore w:val="0"/>
        <w:widowControl w:val="0"/>
        <w:numPr>
          <w:numId w:val="0"/>
        </w:numPr>
        <w:kinsoku/>
        <w:wordWrap/>
        <w:autoSpaceDE/>
        <w:autoSpaceDN/>
        <w:bidi w:val="0"/>
        <w:adjustRightInd/>
        <w:snapToGrid/>
        <w:ind w:left="0" w:leftChars="0" w:firstLine="619"/>
        <w:textAlignment w:val="auto"/>
        <w:rPr>
          <w:rFonts w:ascii="Times New Roman" w:hAnsi="Times New Roman" w:eastAsia="仿宋_GB2312" w:cs="仿宋_GB2312"/>
          <w:b/>
          <w:color w:val="000000"/>
          <w:sz w:val="32"/>
          <w:szCs w:val="32"/>
          <w:bdr w:val="none" w:sz="0" w:space="0"/>
        </w:rPr>
      </w:pPr>
      <w:r>
        <w:rPr>
          <w:rFonts w:hint="eastAsia" w:cs="仿宋_GB2312"/>
          <w:b/>
          <w:color w:val="000000"/>
          <w:sz w:val="32"/>
          <w:szCs w:val="32"/>
          <w:lang w:eastAsia="zh-CN"/>
        </w:rPr>
        <w:t>第三条　</w:t>
      </w:r>
      <w:r>
        <w:rPr>
          <w:rFonts w:ascii="Times New Roman" w:hAnsi="Times New Roman" w:eastAsia="仿宋_GB2312" w:cs="仿宋_GB2312"/>
          <w:color w:val="000000"/>
          <w:sz w:val="32"/>
          <w:szCs w:val="32"/>
        </w:rPr>
        <w:t>班级积极开展理论学习，注重组织建设，定期开展活动。全班同学在思想、学习、生活上互帮互助，班级凝聚力强。辅导员热爱学生工作，能圆满完成各项工作任务，在学生中有感召力。</w:t>
      </w:r>
    </w:p>
    <w:p w14:paraId="360977A8">
      <w:pPr>
        <w:pStyle w:val="11"/>
        <w:keepNext w:val="0"/>
        <w:keepLines w:val="0"/>
        <w:pageBreakBefore w:val="0"/>
        <w:widowControl w:val="0"/>
        <w:numPr>
          <w:numId w:val="0"/>
        </w:numPr>
        <w:kinsoku/>
        <w:wordWrap/>
        <w:autoSpaceDE/>
        <w:autoSpaceDN/>
        <w:bidi w:val="0"/>
        <w:adjustRightInd/>
        <w:snapToGrid/>
        <w:ind w:left="0" w:leftChars="0" w:firstLine="619"/>
        <w:textAlignment w:val="auto"/>
        <w:rPr>
          <w:rFonts w:ascii="Times New Roman" w:hAnsi="Times New Roman" w:eastAsia="仿宋_GB2312" w:cs="仿宋_GB2312"/>
          <w:b/>
          <w:color w:val="000000"/>
          <w:sz w:val="32"/>
          <w:szCs w:val="32"/>
          <w:bdr w:val="none" w:sz="0" w:space="0"/>
        </w:rPr>
      </w:pPr>
      <w:r>
        <w:rPr>
          <w:rFonts w:hint="eastAsia" w:cs="仿宋_GB2312"/>
          <w:b/>
          <w:color w:val="000000"/>
          <w:sz w:val="32"/>
          <w:szCs w:val="32"/>
          <w:lang w:eastAsia="zh-CN"/>
        </w:rPr>
        <w:t>第四条　</w:t>
      </w:r>
      <w:r>
        <w:rPr>
          <w:rFonts w:ascii="Times New Roman" w:hAnsi="Times New Roman" w:eastAsia="仿宋_GB2312" w:cs="仿宋_GB2312"/>
          <w:color w:val="000000"/>
          <w:sz w:val="32"/>
          <w:szCs w:val="32"/>
        </w:rPr>
        <w:t>各模块评选标准</w:t>
      </w:r>
    </w:p>
    <w:p w14:paraId="44849B3B">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b/>
          <w:color w:val="000000"/>
          <w:sz w:val="32"/>
          <w:szCs w:val="32"/>
        </w:rPr>
      </w:pPr>
      <w:r>
        <w:rPr>
          <w:rFonts w:ascii="Times New Roman" w:hAnsi="Times New Roman" w:eastAsia="仿宋_GB2312" w:cs="仿宋_GB2312"/>
          <w:b/>
          <w:color w:val="000000"/>
          <w:sz w:val="32"/>
          <w:szCs w:val="32"/>
        </w:rPr>
        <w:t>优良学风班总分＝模块一得分ⅹ0.2＋模块二得分ⅹ0.7＋模块三得分ⅹ0.1</w:t>
      </w:r>
    </w:p>
    <w:p w14:paraId="2AFF0407">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模块一  班级建设与管理</w:t>
      </w:r>
    </w:p>
    <w:p w14:paraId="6020DD06">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班级学风严谨，建设目标明确、制度健全、措施得力。</w:t>
      </w:r>
    </w:p>
    <w:p w14:paraId="6903E5FC">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（一）</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班级例会（20分）</w:t>
      </w:r>
    </w:p>
    <w:p w14:paraId="7C84B452">
      <w:pPr>
        <w:pStyle w:val="11"/>
        <w:keepNext w:val="0"/>
        <w:keepLines w:val="0"/>
        <w:pageBreakBefore w:val="0"/>
        <w:widowControl w:val="0"/>
        <w:kinsoku/>
        <w:wordWrap/>
        <w:autoSpaceDE/>
        <w:autoSpaceDN/>
        <w:bidi w:val="0"/>
        <w:adjustRightInd/>
        <w:snapToGrid/>
        <w:ind w:left="2772" w:hanging="2156" w:firstLineChars="0"/>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pacing w:val="0"/>
          <w:kern w:val="0"/>
          <w:sz w:val="32"/>
          <w:szCs w:val="32"/>
          <w:fitText w:val="1920" w:id="1054570069"/>
        </w:rPr>
        <w:t>班级例会要求</w:t>
      </w:r>
      <w:r>
        <w:rPr>
          <w:rFonts w:ascii="Times New Roman" w:hAnsi="Times New Roman" w:eastAsia="仿宋_GB2312" w:cs="仿宋_GB2312"/>
          <w:color w:val="000000"/>
          <w:sz w:val="32"/>
          <w:szCs w:val="32"/>
        </w:rPr>
        <w:t>：</w:t>
      </w:r>
    </w:p>
    <w:p w14:paraId="366F421D">
      <w:pPr>
        <w:pStyle w:val="11"/>
        <w:keepNext w:val="0"/>
        <w:keepLines w:val="0"/>
        <w:pageBreakBefore w:val="0"/>
        <w:widowControl w:val="0"/>
        <w:numPr>
          <w:numId w:val="0"/>
        </w:numPr>
        <w:kinsoku/>
        <w:wordWrap/>
        <w:autoSpaceDE/>
        <w:autoSpaceDN/>
        <w:bidi w:val="0"/>
        <w:adjustRightInd/>
        <w:snapToGrid/>
        <w:ind w:firstLine="616" w:firstLineChars="200"/>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1.</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班级例会要求每个月不少于一次；</w:t>
      </w:r>
    </w:p>
    <w:p w14:paraId="34DC950F">
      <w:pPr>
        <w:pStyle w:val="11"/>
        <w:keepNext w:val="0"/>
        <w:keepLines w:val="0"/>
        <w:pageBreakBefore w:val="0"/>
        <w:widowControl w:val="0"/>
        <w:numPr>
          <w:numId w:val="0"/>
        </w:numPr>
        <w:kinsoku/>
        <w:wordWrap/>
        <w:autoSpaceDE/>
        <w:autoSpaceDN/>
        <w:bidi w:val="0"/>
        <w:adjustRightInd/>
        <w:snapToGrid/>
        <w:ind w:firstLine="616" w:firstLineChars="200"/>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2.</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班级会议结束后，班级会议记录必须由辅导员和班长签字后存档。</w:t>
      </w:r>
    </w:p>
    <w:p w14:paraId="14802342">
      <w:pPr>
        <w:pStyle w:val="11"/>
        <w:keepNext w:val="0"/>
        <w:keepLines w:val="0"/>
        <w:pageBreakBefore w:val="0"/>
        <w:widowControl w:val="0"/>
        <w:numPr>
          <w:numId w:val="0"/>
        </w:numPr>
        <w:kinsoku/>
        <w:wordWrap/>
        <w:autoSpaceDE/>
        <w:autoSpaceDN/>
        <w:bidi w:val="0"/>
        <w:adjustRightInd/>
        <w:snapToGrid/>
        <w:ind w:firstLine="616" w:firstLineChars="200"/>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3.</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测评时严格根据上交会议记录反馈表情况打分。</w:t>
      </w:r>
      <w:r>
        <w:rPr>
          <w:rFonts w:ascii="Times New Roman" w:hAnsi="Times New Roman" w:eastAsia="仿宋_GB2312" w:cs="仿宋_GB2312"/>
          <w:color w:val="000000"/>
          <w:sz w:val="32"/>
          <w:szCs w:val="32"/>
        </w:rPr>
        <w:tab/>
      </w:r>
    </w:p>
    <w:p w14:paraId="316EE516">
      <w:pPr>
        <w:pStyle w:val="11"/>
        <w:keepNext w:val="0"/>
        <w:keepLines w:val="0"/>
        <w:pageBreakBefore w:val="0"/>
        <w:widowControl w:val="0"/>
        <w:kinsoku/>
        <w:wordWrap/>
        <w:autoSpaceDE/>
        <w:autoSpaceDN/>
        <w:bidi w:val="0"/>
        <w:adjustRightInd/>
        <w:snapToGrid/>
        <w:ind w:left="2772" w:hanging="2156" w:firstLineChars="0"/>
        <w:textAlignment w:val="auto"/>
        <w:rPr>
          <w:rFonts w:ascii="Times New Roman" w:hAnsi="Times New Roman" w:eastAsia="仿宋_GB2312" w:cs="仿宋_GB2312"/>
          <w:color w:val="000000"/>
          <w:sz w:val="32"/>
          <w:szCs w:val="32"/>
        </w:rPr>
      </w:pPr>
      <w:r>
        <w:rPr>
          <w:rFonts w:hint="eastAsia" w:cs="仿宋_GB2312"/>
          <w:color w:val="000000"/>
          <w:kern w:val="0"/>
          <w:sz w:val="32"/>
          <w:szCs w:val="32"/>
          <w:lang w:val="en-US" w:eastAsia="zh-CN"/>
        </w:rPr>
        <w:t>评分准则</w:t>
      </w:r>
      <w:r>
        <w:rPr>
          <w:rFonts w:ascii="Times New Roman" w:hAnsi="Times New Roman" w:eastAsia="仿宋_GB2312" w:cs="仿宋_GB2312"/>
          <w:color w:val="000000"/>
          <w:sz w:val="32"/>
          <w:szCs w:val="32"/>
        </w:rPr>
        <w:t>：</w:t>
      </w:r>
    </w:p>
    <w:p w14:paraId="4C135E43">
      <w:pPr>
        <w:pStyle w:val="11"/>
        <w:keepNext w:val="0"/>
        <w:keepLines w:val="0"/>
        <w:pageBreakBefore w:val="0"/>
        <w:widowControl w:val="0"/>
        <w:numPr>
          <w:ilvl w:val="0"/>
          <w:numId w:val="1"/>
        </w:numPr>
        <w:kinsoku/>
        <w:wordWrap/>
        <w:autoSpaceDE/>
        <w:autoSpaceDN/>
        <w:bidi w:val="0"/>
        <w:adjustRightInd/>
        <w:snapToGrid/>
        <w:ind w:firstLine="616" w:firstLineChars="200"/>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满分为20分，如缺少一次，则在相应成绩上减去4分。</w:t>
      </w:r>
    </w:p>
    <w:p w14:paraId="78C2576C">
      <w:pPr>
        <w:pStyle w:val="11"/>
        <w:keepNext w:val="0"/>
        <w:keepLines w:val="0"/>
        <w:pageBreakBefore w:val="0"/>
        <w:widowControl w:val="0"/>
        <w:numPr>
          <w:numId w:val="0"/>
        </w:numPr>
        <w:kinsoku/>
        <w:wordWrap/>
        <w:autoSpaceDE/>
        <w:autoSpaceDN/>
        <w:bidi w:val="0"/>
        <w:adjustRightInd/>
        <w:snapToGrid/>
        <w:ind w:firstLine="616" w:firstLineChars="200"/>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2.</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会议记录不少于200字，内容与要求一致，未按照要求填写减1分。</w:t>
      </w:r>
    </w:p>
    <w:p w14:paraId="75D6E6D5">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（二）</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 xml:space="preserve">主题班会（20分） </w:t>
      </w:r>
    </w:p>
    <w:p w14:paraId="2E10A5F0">
      <w:pPr>
        <w:pStyle w:val="11"/>
        <w:keepNext w:val="0"/>
        <w:keepLines w:val="0"/>
        <w:pageBreakBefore w:val="0"/>
        <w:widowControl w:val="0"/>
        <w:kinsoku/>
        <w:wordWrap/>
        <w:autoSpaceDE/>
        <w:autoSpaceDN/>
        <w:bidi w:val="0"/>
        <w:adjustRightInd/>
        <w:snapToGrid/>
        <w:ind w:left="2772" w:hanging="2156" w:firstLineChars="0"/>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pacing w:val="0"/>
          <w:kern w:val="0"/>
          <w:sz w:val="32"/>
          <w:szCs w:val="32"/>
          <w:fitText w:val="1920" w:id="991980632"/>
        </w:rPr>
        <w:t>主题班会要求</w:t>
      </w:r>
      <w:r>
        <w:rPr>
          <w:rFonts w:ascii="Times New Roman" w:hAnsi="Times New Roman" w:eastAsia="仿宋_GB2312" w:cs="仿宋_GB2312"/>
          <w:color w:val="000000"/>
          <w:sz w:val="32"/>
          <w:szCs w:val="32"/>
        </w:rPr>
        <w:t>：</w:t>
      </w:r>
    </w:p>
    <w:p w14:paraId="1F03145F">
      <w:pPr>
        <w:pStyle w:val="11"/>
        <w:keepNext w:val="0"/>
        <w:keepLines w:val="0"/>
        <w:pageBreakBefore w:val="0"/>
        <w:widowControl w:val="0"/>
        <w:numPr>
          <w:numId w:val="0"/>
        </w:numPr>
        <w:kinsoku/>
        <w:wordWrap/>
        <w:autoSpaceDE/>
        <w:autoSpaceDN/>
        <w:bidi w:val="0"/>
        <w:adjustRightInd/>
        <w:snapToGrid/>
        <w:ind w:firstLine="616" w:firstLineChars="200"/>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1.</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大一、大二年级每学期至少举办两场主题班会，大三、大四年级每学期至少举办一场主题班会。</w:t>
      </w:r>
    </w:p>
    <w:p w14:paraId="29A1E2D6">
      <w:pPr>
        <w:pStyle w:val="11"/>
        <w:keepNext w:val="0"/>
        <w:keepLines w:val="0"/>
        <w:pageBreakBefore w:val="0"/>
        <w:widowControl w:val="0"/>
        <w:numPr>
          <w:numId w:val="0"/>
        </w:numPr>
        <w:kinsoku/>
        <w:wordWrap/>
        <w:autoSpaceDE/>
        <w:autoSpaceDN/>
        <w:bidi w:val="0"/>
        <w:adjustRightInd/>
        <w:snapToGrid/>
        <w:ind w:firstLine="616" w:firstLineChars="200"/>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2.</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主题班会心得必须严格按照校学生工作部的要求来写，标明主题、时间、地点、邀请嘉宾、合作班级、主持人，五篇心得（字数不限），三张会议照片，新闻稿等。</w:t>
      </w:r>
    </w:p>
    <w:p w14:paraId="1B4477F1">
      <w:pPr>
        <w:pStyle w:val="11"/>
        <w:keepNext w:val="0"/>
        <w:keepLines w:val="0"/>
        <w:pageBreakBefore w:val="0"/>
        <w:widowControl w:val="0"/>
        <w:numPr>
          <w:numId w:val="0"/>
        </w:numPr>
        <w:kinsoku/>
        <w:wordWrap/>
        <w:autoSpaceDE/>
        <w:autoSpaceDN/>
        <w:bidi w:val="0"/>
        <w:adjustRightInd/>
        <w:snapToGrid/>
        <w:ind w:firstLine="616" w:firstLineChars="200"/>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3.</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合作班级不得多于四个，如有超过，则不作为一次主题班会计算。</w:t>
      </w:r>
    </w:p>
    <w:p w14:paraId="6FA02AAA">
      <w:pPr>
        <w:pStyle w:val="11"/>
        <w:keepNext w:val="0"/>
        <w:keepLines w:val="0"/>
        <w:pageBreakBefore w:val="0"/>
        <w:widowControl w:val="0"/>
        <w:kinsoku/>
        <w:wordWrap/>
        <w:autoSpaceDE/>
        <w:autoSpaceDN/>
        <w:bidi w:val="0"/>
        <w:adjustRightInd/>
        <w:snapToGrid/>
        <w:ind w:left="2772" w:hanging="2156" w:firstLineChars="0"/>
        <w:textAlignment w:val="auto"/>
        <w:rPr>
          <w:rFonts w:ascii="Times New Roman" w:hAnsi="Times New Roman" w:eastAsia="仿宋_GB2312" w:cs="仿宋_GB2312"/>
          <w:color w:val="000000"/>
          <w:sz w:val="32"/>
          <w:szCs w:val="32"/>
        </w:rPr>
      </w:pPr>
      <w:r>
        <w:rPr>
          <w:rFonts w:hint="eastAsia" w:cs="仿宋_GB2312"/>
          <w:color w:val="000000"/>
          <w:kern w:val="0"/>
          <w:sz w:val="32"/>
          <w:szCs w:val="32"/>
          <w:lang w:val="en-US" w:eastAsia="zh-CN"/>
        </w:rPr>
        <w:t>评</w:t>
      </w:r>
      <w:r>
        <w:rPr>
          <w:rFonts w:hint="eastAsia" w:cs="仿宋_GB2312"/>
          <w:color w:val="000000"/>
          <w:spacing w:val="0"/>
          <w:kern w:val="0"/>
          <w:sz w:val="32"/>
          <w:szCs w:val="32"/>
          <w:fitText w:val="1920" w:id="452936636"/>
          <w:lang w:val="en-US" w:eastAsia="zh-CN"/>
        </w:rPr>
        <w:t>分</w:t>
      </w:r>
      <w:r>
        <w:rPr>
          <w:rFonts w:hint="eastAsia" w:cs="仿宋_GB2312"/>
          <w:color w:val="000000"/>
          <w:kern w:val="0"/>
          <w:sz w:val="32"/>
          <w:szCs w:val="32"/>
          <w:lang w:val="en-US" w:eastAsia="zh-CN"/>
        </w:rPr>
        <w:t>准则</w:t>
      </w:r>
      <w:r>
        <w:rPr>
          <w:rFonts w:ascii="Times New Roman" w:hAnsi="Times New Roman" w:eastAsia="仿宋_GB2312" w:cs="仿宋_GB2312"/>
          <w:color w:val="000000"/>
          <w:sz w:val="32"/>
          <w:szCs w:val="32"/>
        </w:rPr>
        <w:t>：</w:t>
      </w:r>
    </w:p>
    <w:p w14:paraId="49625B45">
      <w:pPr>
        <w:pStyle w:val="11"/>
        <w:keepNext w:val="0"/>
        <w:keepLines w:val="0"/>
        <w:pageBreakBefore w:val="0"/>
        <w:widowControl w:val="0"/>
        <w:numPr>
          <w:numId w:val="0"/>
        </w:numPr>
        <w:kinsoku/>
        <w:wordWrap/>
        <w:autoSpaceDE/>
        <w:autoSpaceDN/>
        <w:bidi w:val="0"/>
        <w:adjustRightInd/>
        <w:snapToGrid/>
        <w:ind w:firstLine="616" w:firstLineChars="200"/>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1.</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满分为20分，缺少一次主题班会要减去10分（未召开主题班会班级直接取消评优资格）。</w:t>
      </w:r>
    </w:p>
    <w:p w14:paraId="3D30BCF2">
      <w:pPr>
        <w:pStyle w:val="11"/>
        <w:keepNext w:val="0"/>
        <w:keepLines w:val="0"/>
        <w:pageBreakBefore w:val="0"/>
        <w:widowControl w:val="0"/>
        <w:numPr>
          <w:numId w:val="0"/>
        </w:numPr>
        <w:kinsoku/>
        <w:wordWrap/>
        <w:autoSpaceDE/>
        <w:autoSpaceDN/>
        <w:bidi w:val="0"/>
        <w:adjustRightInd/>
        <w:snapToGrid/>
        <w:ind w:firstLine="616" w:firstLineChars="200"/>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2.</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提交材料不符合要求减去4分。</w:t>
      </w:r>
    </w:p>
    <w:p w14:paraId="4E5D9787">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（三）</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班级活动（以班级为单位的集体活动，20分）</w:t>
      </w:r>
    </w:p>
    <w:p w14:paraId="77331876">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班级能积极参加校、院组织的各项活动，班级学生在上课及集体活动等出勤率高，在校、院两级上课出勤检查中，旷课率低于5％。</w:t>
      </w:r>
    </w:p>
    <w:p w14:paraId="2ABD6146">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班级自行开展有特色、有意义的集体活动（包括校、院要求组织），以提交的活动计划、图片以及总结资料作为加分依据，每项活动计5分。</w:t>
      </w:r>
    </w:p>
    <w:p w14:paraId="22AC74A6">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（四）</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宿舍卫生及早读（20分）</w:t>
      </w:r>
    </w:p>
    <w:p w14:paraId="5EC7D422">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班级学生所在宿舍卫生不合格一次扣2分，早读、晚自习缺勤一人次扣2分，以学校和学院提供的检查结果作为依据，不合格率或缺勤率超过10％的取消评优资格。</w:t>
      </w:r>
    </w:p>
    <w:p w14:paraId="4648BE99">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（五）</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课堂出勤（20分）</w:t>
      </w:r>
    </w:p>
    <w:p w14:paraId="4800C974">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学校</w:t>
      </w:r>
      <w:r>
        <w:rPr>
          <w:rFonts w:ascii="Times New Roman" w:hAnsi="Times New Roman" w:eastAsia="仿宋_GB2312" w:cs="仿宋_GB2312"/>
          <w:color w:val="FF0000"/>
          <w:sz w:val="32"/>
          <w:szCs w:val="32"/>
        </w:rPr>
        <w:t>学风监督岗</w:t>
      </w:r>
      <w:r>
        <w:rPr>
          <w:rFonts w:ascii="Times New Roman" w:hAnsi="Times New Roman" w:eastAsia="仿宋_GB2312" w:cs="仿宋_GB2312"/>
          <w:color w:val="000000"/>
          <w:sz w:val="32"/>
          <w:szCs w:val="32"/>
        </w:rPr>
        <w:t>、校、院团委纪检部不定期进行查课，班级学生缺勤每人次扣2分，以学校和学院提供的检查结果作为依据，校级、院级查课旷课率高于</w:t>
      </w:r>
      <w:r>
        <w:rPr>
          <w:rFonts w:ascii="Times New Roman" w:hAnsi="Times New Roman" w:eastAsia="仿宋_GB2312" w:cs="仿宋_GB2312"/>
          <w:color w:val="FF0000"/>
          <w:sz w:val="32"/>
          <w:szCs w:val="32"/>
        </w:rPr>
        <w:t>5％</w:t>
      </w:r>
      <w:r>
        <w:rPr>
          <w:rFonts w:ascii="Times New Roman" w:hAnsi="Times New Roman" w:eastAsia="仿宋_GB2312" w:cs="仿宋_GB2312"/>
          <w:color w:val="000000"/>
          <w:sz w:val="32"/>
          <w:szCs w:val="32"/>
        </w:rPr>
        <w:t>则取消评优资格。</w:t>
      </w:r>
    </w:p>
    <w:p w14:paraId="378DD3D4">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cs="仿宋_GB2312"/>
          <w:color w:val="000000"/>
          <w:sz w:val="32"/>
          <w:szCs w:val="32"/>
          <w:lang w:eastAsia="zh-CN"/>
        </w:rPr>
      </w:pPr>
    </w:p>
    <w:p w14:paraId="6394482F">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（六）</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班级无故夜不归宿或晚归现象</w:t>
      </w:r>
    </w:p>
    <w:p w14:paraId="395F54A2">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在学校和学院检查夜不归宿的工作中，若班级同学存在无故夜不归宿情况，或超两次无故晚归的则直接取消评优资格。</w:t>
      </w:r>
    </w:p>
    <w:p w14:paraId="63485307">
      <w:pPr>
        <w:pStyle w:val="11"/>
        <w:keepNext w:val="0"/>
        <w:keepLines w:val="0"/>
        <w:pageBreakBefore w:val="0"/>
        <w:widowControl w:val="0"/>
        <w:numPr>
          <w:ilvl w:val="0"/>
          <w:numId w:val="2"/>
        </w:numPr>
        <w:kinsoku/>
        <w:wordWrap/>
        <w:autoSpaceDE/>
        <w:autoSpaceDN/>
        <w:bidi w:val="0"/>
        <w:adjustRightInd/>
        <w:snapToGrid/>
        <w:ind w:left="0" w:leftChars="0" w:firstLine="616"/>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班级积极参加校级和院级活动（此项为加分项）</w:t>
      </w:r>
    </w:p>
    <w:p w14:paraId="507F54EE">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加分标准：</w:t>
      </w:r>
    </w:p>
    <w:p w14:paraId="40815831">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1.</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参加校级活动，根据获奖情况给予加分。一等奖加6分，二等奖加5分，三等奖加3分，优秀奖均加2分。</w:t>
      </w:r>
    </w:p>
    <w:p w14:paraId="0A93C79B">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2.</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参加院级活动，根据获奖情况给予加分。一等奖加5分，二等奖加3分，三等奖加2分，优秀奖均加1分。</w:t>
      </w:r>
    </w:p>
    <w:p w14:paraId="50A262F5">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3.</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组织班级同学积极参加学院、学校举办的学术讲座、报告等活动的班级，视具体情况加1－3分／场次。</w:t>
      </w:r>
    </w:p>
    <w:p w14:paraId="6EDF8E87">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班级建设与管理测评模块总分＝本模块各项分数总和，由高到低排名。</w:t>
      </w:r>
    </w:p>
    <w:p w14:paraId="2B5974EA">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模块二  学习成绩</w:t>
      </w:r>
    </w:p>
    <w:p w14:paraId="524DF680">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班级学风严谨，全班同学学习目的明确，学习态度端正，学习勤奋，锐意进取，努力完善自己的知识结构，有勤奋、严谨、求实、创新的优良学风，能较好地完成各项学习任务，学习成绩整体优良。</w:t>
      </w:r>
    </w:p>
    <w:p w14:paraId="1470D197">
      <w:pPr>
        <w:pStyle w:val="19"/>
        <w:keepNext w:val="0"/>
        <w:keepLines w:val="0"/>
        <w:pageBreakBefore w:val="0"/>
        <w:widowControl w:val="0"/>
        <w:kinsoku/>
        <w:wordWrap/>
        <w:autoSpaceDE/>
        <w:autoSpaceDN/>
        <w:bidi w:val="0"/>
        <w:adjustRightInd/>
        <w:snapToGrid/>
        <w:textAlignment w:val="auto"/>
      </w:pPr>
      <w:r>
        <w:t>学习成绩评分表格：</w:t>
      </w:r>
    </w:p>
    <w:tbl>
      <w:tblPr>
        <w:tblStyle w:val="16"/>
        <w:tblpPr w:leftFromText="180" w:rightFromText="180" w:vertAnchor="text" w:horzAnchor="margin" w:tblpXSpec="center" w:tblpY="51"/>
        <w:tblOverlap w:val="never"/>
        <w:tblW w:w="46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022"/>
        <w:gridCol w:w="1170"/>
        <w:gridCol w:w="1172"/>
        <w:gridCol w:w="1355"/>
        <w:gridCol w:w="1205"/>
        <w:gridCol w:w="1657"/>
      </w:tblGrid>
      <w:tr w14:paraId="5A1C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90" w:type="pct"/>
            <w:tcBorders>
              <w:top w:val="outset" w:color="auto" w:sz="6" w:space="0"/>
              <w:left w:val="outset" w:color="auto" w:sz="6" w:space="0"/>
              <w:bottom w:val="outset" w:color="auto" w:sz="6" w:space="0"/>
              <w:right w:val="outset" w:color="auto" w:sz="6" w:space="0"/>
            </w:tcBorders>
            <w:noWrap w:val="0"/>
            <w:vAlign w:val="center"/>
          </w:tcPr>
          <w:p w14:paraId="4DE95A3B">
            <w:pPr>
              <w:keepNext w:val="0"/>
              <w:keepLines w:val="0"/>
              <w:pageBreakBefore w:val="0"/>
              <w:widowControl w:val="0"/>
              <w:kinsoku/>
              <w:wordWrap/>
              <w:autoSpaceDE/>
              <w:autoSpaceDN/>
              <w:bidi w:val="0"/>
              <w:adjustRightInd/>
              <w:snapToGrid/>
              <w:spacing w:line="360" w:lineRule="auto"/>
              <w:jc w:val="center"/>
              <w:textAlignment w:val="auto"/>
              <w:rPr>
                <w:color w:val="000000"/>
                <w:sz w:val="24"/>
              </w:rPr>
            </w:pPr>
            <w:r>
              <w:rPr>
                <w:color w:val="000000"/>
                <w:sz w:val="24"/>
              </w:rPr>
              <w:t>班级</w:t>
            </w:r>
          </w:p>
        </w:tc>
        <w:tc>
          <w:tcPr>
            <w:tcW w:w="608" w:type="pct"/>
            <w:tcBorders>
              <w:top w:val="outset" w:color="auto" w:sz="6" w:space="0"/>
              <w:left w:val="outset" w:color="auto" w:sz="6" w:space="0"/>
              <w:bottom w:val="outset" w:color="auto" w:sz="6" w:space="0"/>
              <w:right w:val="outset" w:color="auto" w:sz="6" w:space="0"/>
            </w:tcBorders>
            <w:noWrap w:val="0"/>
            <w:vAlign w:val="center"/>
          </w:tcPr>
          <w:p w14:paraId="6C91B304">
            <w:pPr>
              <w:keepNext w:val="0"/>
              <w:keepLines w:val="0"/>
              <w:pageBreakBefore w:val="0"/>
              <w:widowControl w:val="0"/>
              <w:kinsoku/>
              <w:wordWrap/>
              <w:autoSpaceDE/>
              <w:autoSpaceDN/>
              <w:bidi w:val="0"/>
              <w:adjustRightInd/>
              <w:snapToGrid/>
              <w:spacing w:line="360" w:lineRule="auto"/>
              <w:jc w:val="center"/>
              <w:textAlignment w:val="auto"/>
              <w:rPr>
                <w:color w:val="000000"/>
                <w:sz w:val="24"/>
              </w:rPr>
            </w:pPr>
            <w:r>
              <w:rPr>
                <w:color w:val="000000"/>
                <w:kern w:val="0"/>
                <w:sz w:val="24"/>
              </w:rPr>
              <w:t>班级同学平均学分绩点</w:t>
            </w:r>
          </w:p>
        </w:tc>
        <w:tc>
          <w:tcPr>
            <w:tcW w:w="696" w:type="pct"/>
            <w:tcBorders>
              <w:top w:val="outset" w:color="auto" w:sz="6" w:space="0"/>
              <w:left w:val="outset" w:color="auto" w:sz="6" w:space="0"/>
              <w:bottom w:val="outset" w:color="auto" w:sz="6" w:space="0"/>
              <w:right w:val="outset" w:color="auto" w:sz="6" w:space="0"/>
            </w:tcBorders>
            <w:noWrap w:val="0"/>
            <w:vAlign w:val="center"/>
          </w:tcPr>
          <w:p w14:paraId="72C64468">
            <w:pPr>
              <w:keepNext w:val="0"/>
              <w:keepLines w:val="0"/>
              <w:pageBreakBefore w:val="0"/>
              <w:widowControl w:val="0"/>
              <w:kinsoku/>
              <w:wordWrap/>
              <w:autoSpaceDE/>
              <w:autoSpaceDN/>
              <w:bidi w:val="0"/>
              <w:adjustRightInd/>
              <w:snapToGrid/>
              <w:spacing w:line="360" w:lineRule="auto"/>
              <w:jc w:val="center"/>
              <w:textAlignment w:val="auto"/>
              <w:rPr>
                <w:color w:val="000000"/>
                <w:kern w:val="0"/>
                <w:sz w:val="24"/>
              </w:rPr>
            </w:pPr>
            <w:r>
              <w:rPr>
                <w:color w:val="000000"/>
                <w:kern w:val="0"/>
                <w:sz w:val="24"/>
              </w:rPr>
              <w:t>平均学分绩点</w:t>
            </w:r>
          </w:p>
          <w:p w14:paraId="3D32EC29">
            <w:pPr>
              <w:keepNext w:val="0"/>
              <w:keepLines w:val="0"/>
              <w:pageBreakBefore w:val="0"/>
              <w:widowControl w:val="0"/>
              <w:kinsoku/>
              <w:wordWrap/>
              <w:autoSpaceDE/>
              <w:autoSpaceDN/>
              <w:bidi w:val="0"/>
              <w:adjustRightInd/>
              <w:snapToGrid/>
              <w:spacing w:line="360" w:lineRule="auto"/>
              <w:jc w:val="center"/>
              <w:textAlignment w:val="auto"/>
              <w:rPr>
                <w:color w:val="000000"/>
                <w:sz w:val="24"/>
              </w:rPr>
            </w:pPr>
            <w:r>
              <w:rPr>
                <w:color w:val="000000"/>
                <w:kern w:val="0"/>
                <w:sz w:val="24"/>
              </w:rPr>
              <w:t>≥ 3.5比例</w:t>
            </w:r>
          </w:p>
        </w:tc>
        <w:tc>
          <w:tcPr>
            <w:tcW w:w="697" w:type="pct"/>
            <w:tcBorders>
              <w:top w:val="outset" w:color="auto" w:sz="6" w:space="0"/>
              <w:left w:val="outset" w:color="auto" w:sz="6" w:space="0"/>
              <w:bottom w:val="outset" w:color="auto" w:sz="6" w:space="0"/>
              <w:right w:val="outset" w:color="auto" w:sz="6" w:space="0"/>
            </w:tcBorders>
            <w:noWrap w:val="0"/>
            <w:vAlign w:val="center"/>
          </w:tcPr>
          <w:p w14:paraId="24BBF4B7">
            <w:pPr>
              <w:keepNext w:val="0"/>
              <w:keepLines w:val="0"/>
              <w:pageBreakBefore w:val="0"/>
              <w:widowControl w:val="0"/>
              <w:kinsoku/>
              <w:wordWrap/>
              <w:autoSpaceDE/>
              <w:autoSpaceDN/>
              <w:bidi w:val="0"/>
              <w:adjustRightInd/>
              <w:snapToGrid/>
              <w:spacing w:line="360" w:lineRule="auto"/>
              <w:jc w:val="center"/>
              <w:textAlignment w:val="auto"/>
              <w:rPr>
                <w:color w:val="000000"/>
                <w:kern w:val="0"/>
                <w:sz w:val="24"/>
              </w:rPr>
            </w:pPr>
            <w:r>
              <w:rPr>
                <w:color w:val="000000"/>
                <w:kern w:val="0"/>
                <w:sz w:val="24"/>
              </w:rPr>
              <w:t>平均学分绩点</w:t>
            </w:r>
          </w:p>
          <w:p w14:paraId="5DD510AE">
            <w:pPr>
              <w:keepNext w:val="0"/>
              <w:keepLines w:val="0"/>
              <w:pageBreakBefore w:val="0"/>
              <w:widowControl w:val="0"/>
              <w:kinsoku/>
              <w:wordWrap/>
              <w:autoSpaceDE/>
              <w:autoSpaceDN/>
              <w:bidi w:val="0"/>
              <w:adjustRightInd/>
              <w:snapToGrid/>
              <w:spacing w:line="360" w:lineRule="auto"/>
              <w:jc w:val="center"/>
              <w:textAlignment w:val="auto"/>
              <w:rPr>
                <w:color w:val="000000"/>
                <w:sz w:val="24"/>
              </w:rPr>
            </w:pPr>
            <w:r>
              <w:rPr>
                <w:color w:val="000000"/>
                <w:kern w:val="0"/>
                <w:sz w:val="24"/>
              </w:rPr>
              <w:t xml:space="preserve"> </w:t>
            </w:r>
            <w:r>
              <w:rPr>
                <w:rFonts w:hint="eastAsia"/>
                <w:color w:val="000000"/>
                <w:kern w:val="0"/>
                <w:sz w:val="24"/>
                <w:lang w:eastAsia="zh-CN"/>
              </w:rPr>
              <w:t>＜</w:t>
            </w:r>
            <w:r>
              <w:rPr>
                <w:color w:val="000000"/>
                <w:kern w:val="0"/>
                <w:sz w:val="24"/>
              </w:rPr>
              <w:t xml:space="preserve"> 2.6比例</w:t>
            </w:r>
          </w:p>
        </w:tc>
        <w:tc>
          <w:tcPr>
            <w:tcW w:w="806" w:type="pct"/>
            <w:tcBorders>
              <w:top w:val="outset" w:color="auto" w:sz="6" w:space="0"/>
              <w:left w:val="outset" w:color="auto" w:sz="6" w:space="0"/>
              <w:bottom w:val="outset" w:color="auto" w:sz="6" w:space="0"/>
              <w:right w:val="outset" w:color="auto" w:sz="6" w:space="0"/>
            </w:tcBorders>
            <w:noWrap w:val="0"/>
            <w:vAlign w:val="center"/>
          </w:tcPr>
          <w:p w14:paraId="6B9F221D">
            <w:pPr>
              <w:keepNext w:val="0"/>
              <w:keepLines w:val="0"/>
              <w:pageBreakBefore w:val="0"/>
              <w:widowControl w:val="0"/>
              <w:kinsoku/>
              <w:wordWrap/>
              <w:autoSpaceDE/>
              <w:autoSpaceDN/>
              <w:bidi w:val="0"/>
              <w:adjustRightInd/>
              <w:snapToGrid/>
              <w:spacing w:line="360" w:lineRule="auto"/>
              <w:jc w:val="center"/>
              <w:textAlignment w:val="auto"/>
              <w:rPr>
                <w:color w:val="000000"/>
                <w:sz w:val="24"/>
              </w:rPr>
            </w:pPr>
            <w:r>
              <w:rPr>
                <w:color w:val="000000"/>
                <w:kern w:val="0"/>
                <w:sz w:val="24"/>
              </w:rPr>
              <w:t>班干部和学生党员平均学分绩点</w:t>
            </w:r>
          </w:p>
        </w:tc>
        <w:tc>
          <w:tcPr>
            <w:tcW w:w="717" w:type="pct"/>
            <w:tcBorders>
              <w:top w:val="outset" w:color="auto" w:sz="6" w:space="0"/>
              <w:left w:val="outset" w:color="auto" w:sz="6" w:space="0"/>
              <w:bottom w:val="outset" w:color="auto" w:sz="6" w:space="0"/>
              <w:right w:val="single" w:color="auto" w:sz="4" w:space="0"/>
            </w:tcBorders>
            <w:noWrap w:val="0"/>
            <w:vAlign w:val="center"/>
          </w:tcPr>
          <w:p w14:paraId="0E1BAAEA">
            <w:pPr>
              <w:keepNext w:val="0"/>
              <w:keepLines w:val="0"/>
              <w:pageBreakBefore w:val="0"/>
              <w:widowControl w:val="0"/>
              <w:kinsoku/>
              <w:wordWrap/>
              <w:autoSpaceDE/>
              <w:autoSpaceDN/>
              <w:bidi w:val="0"/>
              <w:adjustRightInd/>
              <w:snapToGrid/>
              <w:spacing w:line="360" w:lineRule="auto"/>
              <w:jc w:val="center"/>
              <w:textAlignment w:val="auto"/>
              <w:rPr>
                <w:color w:val="000000"/>
                <w:sz w:val="24"/>
              </w:rPr>
            </w:pPr>
            <w:r>
              <w:rPr>
                <w:color w:val="000000"/>
                <w:sz w:val="24"/>
              </w:rPr>
              <w:t>班级同学成绩不及格率</w:t>
            </w:r>
          </w:p>
        </w:tc>
        <w:tc>
          <w:tcPr>
            <w:tcW w:w="987" w:type="pct"/>
            <w:tcBorders>
              <w:top w:val="outset" w:color="auto" w:sz="6" w:space="0"/>
              <w:left w:val="single" w:color="auto" w:sz="4" w:space="0"/>
              <w:bottom w:val="outset" w:color="auto" w:sz="6" w:space="0"/>
              <w:right w:val="outset" w:color="auto" w:sz="6" w:space="0"/>
            </w:tcBorders>
            <w:noWrap w:val="0"/>
            <w:vAlign w:val="center"/>
          </w:tcPr>
          <w:p w14:paraId="31C1DF14">
            <w:pPr>
              <w:keepNext w:val="0"/>
              <w:keepLines w:val="0"/>
              <w:pageBreakBefore w:val="0"/>
              <w:widowControl w:val="0"/>
              <w:kinsoku/>
              <w:wordWrap/>
              <w:autoSpaceDE/>
              <w:autoSpaceDN/>
              <w:bidi w:val="0"/>
              <w:adjustRightInd/>
              <w:snapToGrid/>
              <w:spacing w:line="360" w:lineRule="auto"/>
              <w:jc w:val="center"/>
              <w:textAlignment w:val="auto"/>
              <w:rPr>
                <w:color w:val="000000"/>
                <w:sz w:val="24"/>
              </w:rPr>
            </w:pPr>
            <w:r>
              <w:rPr>
                <w:color w:val="000000"/>
                <w:sz w:val="24"/>
              </w:rPr>
              <w:t>班级同学体质健康测试及格（</w:t>
            </w:r>
            <w:r>
              <w:rPr>
                <w:color w:val="000000"/>
                <w:kern w:val="0"/>
                <w:sz w:val="24"/>
              </w:rPr>
              <w:t>≥60分）率</w:t>
            </w:r>
          </w:p>
        </w:tc>
      </w:tr>
      <w:tr w14:paraId="2194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490" w:type="pct"/>
            <w:tcBorders>
              <w:top w:val="outset" w:color="auto" w:sz="6" w:space="0"/>
              <w:left w:val="outset" w:color="auto" w:sz="6" w:space="0"/>
              <w:bottom w:val="outset" w:color="auto" w:sz="6" w:space="0"/>
              <w:right w:val="outset" w:color="auto" w:sz="6" w:space="0"/>
            </w:tcBorders>
            <w:noWrap w:val="0"/>
            <w:vAlign w:val="center"/>
          </w:tcPr>
          <w:p w14:paraId="0B2B158C">
            <w:pPr>
              <w:keepNext w:val="0"/>
              <w:keepLines w:val="0"/>
              <w:pageBreakBefore w:val="0"/>
              <w:widowControl w:val="0"/>
              <w:kinsoku/>
              <w:wordWrap/>
              <w:autoSpaceDE/>
              <w:autoSpaceDN/>
              <w:bidi w:val="0"/>
              <w:adjustRightInd/>
              <w:snapToGrid/>
              <w:spacing w:line="360" w:lineRule="auto"/>
              <w:ind w:firstLine="480" w:firstLineChars="200"/>
              <w:jc w:val="center"/>
              <w:textAlignment w:val="auto"/>
              <w:rPr>
                <w:color w:val="000000"/>
                <w:sz w:val="24"/>
              </w:rPr>
            </w:pPr>
          </w:p>
        </w:tc>
        <w:tc>
          <w:tcPr>
            <w:tcW w:w="608" w:type="pct"/>
            <w:tcBorders>
              <w:top w:val="outset" w:color="auto" w:sz="6" w:space="0"/>
              <w:left w:val="outset" w:color="auto" w:sz="6" w:space="0"/>
              <w:bottom w:val="outset" w:color="auto" w:sz="6" w:space="0"/>
              <w:right w:val="outset" w:color="auto" w:sz="6" w:space="0"/>
            </w:tcBorders>
            <w:noWrap w:val="0"/>
            <w:vAlign w:val="center"/>
          </w:tcPr>
          <w:p w14:paraId="550FF561">
            <w:pPr>
              <w:keepNext w:val="0"/>
              <w:keepLines w:val="0"/>
              <w:pageBreakBefore w:val="0"/>
              <w:widowControl w:val="0"/>
              <w:kinsoku/>
              <w:wordWrap/>
              <w:autoSpaceDE/>
              <w:autoSpaceDN/>
              <w:bidi w:val="0"/>
              <w:adjustRightInd/>
              <w:snapToGrid/>
              <w:spacing w:line="360" w:lineRule="auto"/>
              <w:ind w:firstLine="480" w:firstLineChars="200"/>
              <w:jc w:val="center"/>
              <w:textAlignment w:val="auto"/>
              <w:rPr>
                <w:color w:val="000000"/>
                <w:sz w:val="24"/>
              </w:rPr>
            </w:pPr>
          </w:p>
        </w:tc>
        <w:tc>
          <w:tcPr>
            <w:tcW w:w="696" w:type="pct"/>
            <w:tcBorders>
              <w:top w:val="outset" w:color="auto" w:sz="6" w:space="0"/>
              <w:left w:val="outset" w:color="auto" w:sz="6" w:space="0"/>
              <w:bottom w:val="outset" w:color="auto" w:sz="6" w:space="0"/>
              <w:right w:val="outset" w:color="auto" w:sz="6" w:space="0"/>
            </w:tcBorders>
            <w:noWrap w:val="0"/>
            <w:vAlign w:val="center"/>
          </w:tcPr>
          <w:p w14:paraId="24F76525">
            <w:pPr>
              <w:keepNext w:val="0"/>
              <w:keepLines w:val="0"/>
              <w:pageBreakBefore w:val="0"/>
              <w:widowControl w:val="0"/>
              <w:kinsoku/>
              <w:wordWrap/>
              <w:autoSpaceDE/>
              <w:autoSpaceDN/>
              <w:bidi w:val="0"/>
              <w:adjustRightInd/>
              <w:snapToGrid/>
              <w:spacing w:line="360" w:lineRule="auto"/>
              <w:ind w:firstLine="480" w:firstLineChars="200"/>
              <w:jc w:val="center"/>
              <w:textAlignment w:val="auto"/>
              <w:rPr>
                <w:color w:val="000000"/>
                <w:sz w:val="24"/>
              </w:rPr>
            </w:pPr>
          </w:p>
        </w:tc>
        <w:tc>
          <w:tcPr>
            <w:tcW w:w="697" w:type="pct"/>
            <w:tcBorders>
              <w:top w:val="outset" w:color="auto" w:sz="6" w:space="0"/>
              <w:left w:val="outset" w:color="auto" w:sz="6" w:space="0"/>
              <w:bottom w:val="outset" w:color="auto" w:sz="6" w:space="0"/>
              <w:right w:val="outset" w:color="auto" w:sz="6" w:space="0"/>
            </w:tcBorders>
            <w:noWrap w:val="0"/>
            <w:vAlign w:val="center"/>
          </w:tcPr>
          <w:p w14:paraId="1A4FA64B">
            <w:pPr>
              <w:keepNext w:val="0"/>
              <w:keepLines w:val="0"/>
              <w:pageBreakBefore w:val="0"/>
              <w:widowControl w:val="0"/>
              <w:kinsoku/>
              <w:wordWrap/>
              <w:autoSpaceDE/>
              <w:autoSpaceDN/>
              <w:bidi w:val="0"/>
              <w:adjustRightInd/>
              <w:snapToGrid/>
              <w:spacing w:line="360" w:lineRule="auto"/>
              <w:ind w:firstLine="480" w:firstLineChars="200"/>
              <w:jc w:val="center"/>
              <w:textAlignment w:val="auto"/>
              <w:rPr>
                <w:color w:val="000000"/>
                <w:sz w:val="24"/>
              </w:rPr>
            </w:pPr>
          </w:p>
        </w:tc>
        <w:tc>
          <w:tcPr>
            <w:tcW w:w="806" w:type="pct"/>
            <w:tcBorders>
              <w:top w:val="outset" w:color="auto" w:sz="6" w:space="0"/>
              <w:left w:val="outset" w:color="auto" w:sz="6" w:space="0"/>
              <w:bottom w:val="outset" w:color="auto" w:sz="6" w:space="0"/>
              <w:right w:val="outset" w:color="auto" w:sz="6" w:space="0"/>
            </w:tcBorders>
            <w:noWrap w:val="0"/>
            <w:vAlign w:val="center"/>
          </w:tcPr>
          <w:p w14:paraId="093613C4">
            <w:pPr>
              <w:keepNext w:val="0"/>
              <w:keepLines w:val="0"/>
              <w:pageBreakBefore w:val="0"/>
              <w:widowControl w:val="0"/>
              <w:kinsoku/>
              <w:wordWrap/>
              <w:autoSpaceDE/>
              <w:autoSpaceDN/>
              <w:bidi w:val="0"/>
              <w:adjustRightInd/>
              <w:snapToGrid/>
              <w:spacing w:line="360" w:lineRule="auto"/>
              <w:ind w:firstLine="480" w:firstLineChars="200"/>
              <w:jc w:val="center"/>
              <w:textAlignment w:val="auto"/>
              <w:rPr>
                <w:color w:val="000000"/>
                <w:sz w:val="24"/>
              </w:rPr>
            </w:pPr>
          </w:p>
        </w:tc>
        <w:tc>
          <w:tcPr>
            <w:tcW w:w="717" w:type="pct"/>
            <w:tcBorders>
              <w:top w:val="outset" w:color="auto" w:sz="6" w:space="0"/>
              <w:left w:val="outset" w:color="auto" w:sz="6" w:space="0"/>
              <w:bottom w:val="outset" w:color="auto" w:sz="6" w:space="0"/>
              <w:right w:val="single" w:color="auto" w:sz="4" w:space="0"/>
            </w:tcBorders>
            <w:noWrap w:val="0"/>
            <w:vAlign w:val="center"/>
          </w:tcPr>
          <w:p w14:paraId="5D9EA246">
            <w:pPr>
              <w:keepNext w:val="0"/>
              <w:keepLines w:val="0"/>
              <w:pageBreakBefore w:val="0"/>
              <w:widowControl w:val="0"/>
              <w:kinsoku/>
              <w:wordWrap/>
              <w:autoSpaceDE/>
              <w:autoSpaceDN/>
              <w:bidi w:val="0"/>
              <w:adjustRightInd/>
              <w:snapToGrid/>
              <w:spacing w:line="360" w:lineRule="auto"/>
              <w:ind w:firstLine="480" w:firstLineChars="200"/>
              <w:jc w:val="center"/>
              <w:textAlignment w:val="auto"/>
              <w:rPr>
                <w:color w:val="000000"/>
                <w:sz w:val="24"/>
              </w:rPr>
            </w:pPr>
          </w:p>
        </w:tc>
        <w:tc>
          <w:tcPr>
            <w:tcW w:w="987" w:type="pct"/>
            <w:tcBorders>
              <w:top w:val="outset" w:color="auto" w:sz="6" w:space="0"/>
              <w:left w:val="single" w:color="auto" w:sz="4" w:space="0"/>
              <w:bottom w:val="outset" w:color="auto" w:sz="6" w:space="0"/>
              <w:right w:val="outset" w:color="auto" w:sz="6" w:space="0"/>
            </w:tcBorders>
            <w:noWrap w:val="0"/>
            <w:vAlign w:val="center"/>
          </w:tcPr>
          <w:p w14:paraId="7C0F4EAF">
            <w:pPr>
              <w:keepNext w:val="0"/>
              <w:keepLines w:val="0"/>
              <w:pageBreakBefore w:val="0"/>
              <w:widowControl w:val="0"/>
              <w:kinsoku/>
              <w:wordWrap/>
              <w:autoSpaceDE/>
              <w:autoSpaceDN/>
              <w:bidi w:val="0"/>
              <w:adjustRightInd/>
              <w:snapToGrid/>
              <w:spacing w:line="360" w:lineRule="auto"/>
              <w:ind w:firstLine="480" w:firstLineChars="200"/>
              <w:jc w:val="center"/>
              <w:textAlignment w:val="auto"/>
              <w:rPr>
                <w:color w:val="000000"/>
                <w:sz w:val="24"/>
              </w:rPr>
            </w:pPr>
          </w:p>
        </w:tc>
      </w:tr>
    </w:tbl>
    <w:p w14:paraId="4E0B77A0">
      <w:pPr>
        <w:pStyle w:val="11"/>
        <w:keepNext w:val="0"/>
        <w:keepLines w:val="0"/>
        <w:pageBreakBefore w:val="0"/>
        <w:widowControl w:val="0"/>
        <w:numPr>
          <w:numId w:val="0"/>
        </w:numPr>
        <w:kinsoku/>
        <w:wordWrap/>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32"/>
          <w:szCs w:val="32"/>
          <w:bdr w:val="none" w:sz="0" w:space="0"/>
        </w:rPr>
      </w:pPr>
      <w:r>
        <w:rPr>
          <w:rStyle w:val="20"/>
          <w:rFonts w:hint="eastAsia" w:eastAsia="楷体_GB2312"/>
          <w:lang w:eastAsia="zh-CN"/>
        </w:rPr>
        <w:t>（一）</w:t>
      </w:r>
      <w:r>
        <w:rPr>
          <w:rStyle w:val="20"/>
        </w:rPr>
        <w:t>班级同学平均学分绩点</w:t>
      </w:r>
      <w:r>
        <w:rPr>
          <w:rFonts w:ascii="Times New Roman" w:hAnsi="Times New Roman" w:eastAsia="仿宋_GB2312" w:cs="仿宋_GB2312"/>
          <w:color w:val="000000"/>
          <w:sz w:val="32"/>
          <w:szCs w:val="32"/>
        </w:rPr>
        <w:t>：参评班级平均学分绩点应高于3.0（不包括学籍异动学生成绩），平均学分绩点不低于3.5的同学人数 ≥ 班级总人数的20％，平均学分绩点低于2.6的同学人数 ＜ 班级总人数的20％；</w:t>
      </w:r>
    </w:p>
    <w:p w14:paraId="05599D51">
      <w:pPr>
        <w:pStyle w:val="11"/>
        <w:keepNext w:val="0"/>
        <w:keepLines w:val="0"/>
        <w:pageBreakBefore w:val="0"/>
        <w:widowControl w:val="0"/>
        <w:numPr>
          <w:numId w:val="0"/>
        </w:numPr>
        <w:kinsoku/>
        <w:wordWrap/>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32"/>
          <w:szCs w:val="32"/>
          <w:bdr w:val="none" w:sz="0" w:space="0"/>
        </w:rPr>
      </w:pPr>
      <w:r>
        <w:rPr>
          <w:rStyle w:val="20"/>
          <w:rFonts w:hint="eastAsia" w:eastAsia="楷体_GB2312"/>
          <w:lang w:eastAsia="zh-CN"/>
        </w:rPr>
        <w:t>（二）</w:t>
      </w:r>
      <w:r>
        <w:rPr>
          <w:rStyle w:val="20"/>
        </w:rPr>
        <w:t>班干部和学生党员的个人平均学分绩点排名均在班级前30％，需在班级平均学分绩点汇总表中备注（10分，成绩最高班级为10分，按照名次依次减1分）</w:t>
      </w:r>
      <w:r>
        <w:rPr>
          <w:rFonts w:ascii="Times New Roman" w:hAnsi="Times New Roman" w:eastAsia="仿宋_GB2312" w:cs="仿宋_GB2312"/>
          <w:color w:val="000000"/>
          <w:sz w:val="32"/>
          <w:szCs w:val="32"/>
        </w:rPr>
        <w:t>；</w:t>
      </w:r>
    </w:p>
    <w:p w14:paraId="4555605B">
      <w:pPr>
        <w:pStyle w:val="11"/>
        <w:keepNext w:val="0"/>
        <w:keepLines w:val="0"/>
        <w:pageBreakBefore w:val="0"/>
        <w:widowControl w:val="0"/>
        <w:numPr>
          <w:numId w:val="0"/>
        </w:numPr>
        <w:kinsoku/>
        <w:wordWrap/>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32"/>
          <w:szCs w:val="32"/>
          <w:bdr w:val="none" w:sz="0" w:space="0"/>
        </w:rPr>
      </w:pPr>
      <w:r>
        <w:rPr>
          <w:rStyle w:val="20"/>
          <w:rFonts w:hint="eastAsia" w:eastAsia="楷体_GB2312"/>
          <w:lang w:eastAsia="zh-CN"/>
        </w:rPr>
        <w:t>（三）</w:t>
      </w:r>
      <w:r>
        <w:rPr>
          <w:rStyle w:val="20"/>
        </w:rPr>
        <w:t>班级同学补考前课程成绩不及格门次学期累计数 ≤ 班级总人数的20％（10分，成绩最高班级为10分，按照名次依次减1分）</w:t>
      </w:r>
      <w:r>
        <w:rPr>
          <w:rFonts w:ascii="Times New Roman" w:hAnsi="Times New Roman" w:eastAsia="仿宋_GB2312" w:cs="仿宋_GB2312"/>
          <w:color w:val="000000"/>
          <w:sz w:val="32"/>
          <w:szCs w:val="32"/>
        </w:rPr>
        <w:t>；</w:t>
      </w:r>
    </w:p>
    <w:p w14:paraId="6708033F">
      <w:pPr>
        <w:pStyle w:val="11"/>
        <w:keepNext w:val="0"/>
        <w:keepLines w:val="0"/>
        <w:pageBreakBefore w:val="0"/>
        <w:widowControl w:val="0"/>
        <w:numPr>
          <w:numId w:val="0"/>
        </w:numPr>
        <w:kinsoku/>
        <w:wordWrap/>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32"/>
          <w:szCs w:val="32"/>
          <w:bdr w:val="none" w:sz="0" w:space="0"/>
        </w:rPr>
      </w:pPr>
      <w:r>
        <w:rPr>
          <w:rStyle w:val="20"/>
          <w:rFonts w:hint="eastAsia" w:eastAsia="楷体_GB2312"/>
          <w:lang w:eastAsia="zh-CN"/>
        </w:rPr>
        <w:t>（四）</w:t>
      </w:r>
      <w:r>
        <w:rPr>
          <w:rStyle w:val="20"/>
        </w:rPr>
        <w:t>除免测同学外，班级同学体质健康测试一次性达到及格标准（≥60分）率不低于95％</w:t>
      </w:r>
      <w:r>
        <w:rPr>
          <w:rFonts w:ascii="Times New Roman" w:hAnsi="Times New Roman" w:eastAsia="仿宋_GB2312" w:cs="仿宋_GB2312"/>
          <w:color w:val="000000"/>
          <w:sz w:val="32"/>
          <w:szCs w:val="32"/>
        </w:rPr>
        <w:t>。</w:t>
      </w:r>
    </w:p>
    <w:p w14:paraId="309D8282">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在学习成绩中涉及到的学生平均学分绩点、学生成绩、体质健康测试成绩均以学院教学科、学生工作部提供的成绩为准。</w:t>
      </w:r>
    </w:p>
    <w:p w14:paraId="77EBE1D5">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该模块分数＝本模块各项分数（转换成百分制后）的平均值，由高到低排列。</w:t>
      </w:r>
    </w:p>
    <w:p w14:paraId="40DF5464">
      <w:pPr>
        <w:keepNext w:val="0"/>
        <w:keepLines w:val="0"/>
        <w:pageBreakBefore w:val="0"/>
        <w:widowControl w:val="0"/>
        <w:kinsoku/>
        <w:wordWrap/>
        <w:autoSpaceDE/>
        <w:autoSpaceDN/>
        <w:bidi w:val="0"/>
        <w:adjustRightInd/>
        <w:snapToGrid/>
        <w:spacing w:line="360" w:lineRule="auto"/>
        <w:ind w:firstLine="482" w:firstLineChars="200"/>
        <w:textAlignment w:val="auto"/>
        <w:rPr>
          <w:b/>
          <w:bCs/>
          <w:color w:val="000000"/>
          <w:sz w:val="24"/>
        </w:rPr>
      </w:pPr>
    </w:p>
    <w:p w14:paraId="46E8478C">
      <w:pPr>
        <w:pStyle w:val="18"/>
        <w:keepNext w:val="0"/>
        <w:keepLines w:val="0"/>
        <w:pageBreakBefore w:val="0"/>
        <w:widowControl w:val="0"/>
        <w:kinsoku/>
        <w:wordWrap/>
        <w:autoSpaceDE/>
        <w:autoSpaceDN/>
        <w:bidi w:val="0"/>
        <w:adjustRightInd/>
        <w:snapToGrid/>
        <w:textAlignment w:val="auto"/>
      </w:pPr>
      <w:r>
        <w:t>模块三 优良学风班答辩</w:t>
      </w:r>
    </w:p>
    <w:p w14:paraId="48D5C0D3">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一、</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答辩要求</w:t>
      </w:r>
    </w:p>
    <w:p w14:paraId="303B55FE">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1.</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答辩人播放PPT陈述内容时间控制在四分钟，要求语言简练，中心突出。</w:t>
      </w:r>
    </w:p>
    <w:p w14:paraId="4C29B7C4">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2.</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评委严格按照“答辩评分标准”的要求评分。</w:t>
      </w:r>
    </w:p>
    <w:p w14:paraId="4AF60A51">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3.</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评委给分控制在85－100分，如有违反规则，则取消该评委所评所有成绩。</w:t>
      </w:r>
    </w:p>
    <w:p w14:paraId="2315FB9D">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二、</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答辩评分标准</w:t>
      </w:r>
    </w:p>
    <w:p w14:paraId="1340F896">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ascii="Times New Roman" w:hAnsi="Times New Roman" w:eastAsia="仿宋_GB2312" w:cs="仿宋_GB2312"/>
          <w:b w:val="0"/>
          <w:color w:val="000000"/>
          <w:sz w:val="32"/>
          <w:szCs w:val="32"/>
          <w:bdr w:val="none" w:sz="0" w:space="0"/>
        </w:rPr>
      </w:pPr>
      <w:r>
        <w:rPr>
          <w:rFonts w:hint="eastAsia" w:cs="仿宋_GB2312"/>
          <w:color w:val="000000"/>
          <w:sz w:val="32"/>
          <w:szCs w:val="32"/>
          <w:lang w:eastAsia="zh-CN"/>
        </w:rPr>
        <w:t>（一）</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PPT制作（50分）</w:t>
      </w:r>
    </w:p>
    <w:p w14:paraId="1819259F">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1.</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内容齐全，重点突出。（10分）</w:t>
      </w:r>
    </w:p>
    <w:p w14:paraId="04307BF8">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2.</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结构合理，层次分明，条理清晰。（10分）</w:t>
      </w:r>
    </w:p>
    <w:p w14:paraId="6BA0BAE5">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3.</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页面整洁，文字图表清晰。（10分）</w:t>
      </w:r>
    </w:p>
    <w:p w14:paraId="041D4FA4">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4.</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制作新颖，内容有创意。（10分）</w:t>
      </w:r>
    </w:p>
    <w:p w14:paraId="4DF4263E">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5.</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要求PPT至少涉及班级简介、学风措施、班级成绩、班级展望这四个模块。（10分）</w:t>
      </w:r>
    </w:p>
    <w:p w14:paraId="38F5C61C">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（二）</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答辩质量（50分）</w:t>
      </w:r>
    </w:p>
    <w:p w14:paraId="183F741C">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1.</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答辩时仪表大方，衣着端庄，严肃认真。（10分）</w:t>
      </w:r>
    </w:p>
    <w:p w14:paraId="34BBF89D">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pacing wpsCustomData:val="-6" w:val="-6"/>
          <w:sz w:val="32"/>
          <w:szCs w:val="32"/>
          <w:lang w:eastAsia="zh-CN"/>
        </w:rPr>
        <w:t>2.</w:t>
      </w:r>
      <w:r>
        <w:rPr>
          <w:rFonts w:hint="eastAsia" w:ascii="仿宋" w:hAnsi="仿宋" w:eastAsia="仿宋" w:cs="仿宋"/>
          <w:color w:val="000000"/>
          <w:spacing wpsCustomData:val="-6" w:val="3"/>
          <w:sz w:val="32"/>
          <w:szCs w:val="32"/>
          <w:lang w:eastAsia="zh-CN"/>
        </w:rPr>
        <w:t xml:space="preserve"> </w:t>
      </w:r>
      <w:r>
        <w:rPr>
          <w:rFonts w:ascii="Times New Roman" w:hAnsi="Times New Roman" w:eastAsia="仿宋_GB2312" w:cs="仿宋_GB2312"/>
          <w:color w:val="000000"/>
          <w:spacing wpsCustomData:val="-6" w:val="3"/>
          <w:sz w:val="32"/>
          <w:szCs w:val="32"/>
        </w:rPr>
        <w:t>答辩时语言流畅、准确、严谨</w:t>
      </w:r>
      <w:r>
        <w:rPr>
          <w:rFonts w:ascii="Times New Roman" w:hAnsi="Times New Roman" w:eastAsia="仿宋_GB2312" w:cs="仿宋_GB2312"/>
          <w:color w:val="000000"/>
          <w:spacing wpsCustomData:val="-6" w:val="4"/>
          <w:sz w:val="32"/>
          <w:szCs w:val="32"/>
        </w:rPr>
        <w:t>，</w:t>
      </w:r>
      <w:r>
        <w:rPr>
          <w:rFonts w:ascii="Times New Roman" w:hAnsi="Times New Roman" w:eastAsia="仿宋_GB2312" w:cs="仿宋_GB2312"/>
          <w:color w:val="000000"/>
          <w:spacing wpsCustomData:val="-6" w:val="3"/>
          <w:sz w:val="32"/>
          <w:szCs w:val="32"/>
        </w:rPr>
        <w:t>重点突出</w:t>
      </w:r>
      <w:r>
        <w:rPr>
          <w:rFonts w:ascii="Times New Roman" w:hAnsi="Times New Roman" w:eastAsia="仿宋_GB2312" w:cs="仿宋_GB2312"/>
          <w:color w:val="000000"/>
          <w:spacing wpsCustomData:val="-6" w:val="4"/>
          <w:sz w:val="32"/>
          <w:szCs w:val="32"/>
        </w:rPr>
        <w:t>，</w:t>
      </w:r>
      <w:r>
        <w:rPr>
          <w:rFonts w:ascii="Times New Roman" w:hAnsi="Times New Roman" w:eastAsia="仿宋_GB2312" w:cs="仿宋_GB2312"/>
          <w:color w:val="000000"/>
          <w:spacing wpsCustomData:val="-6" w:val="3"/>
          <w:sz w:val="32"/>
          <w:szCs w:val="32"/>
        </w:rPr>
        <w:t>语言适</w:t>
      </w:r>
      <w:r>
        <w:rPr>
          <w:rFonts w:ascii="Times New Roman" w:hAnsi="Times New Roman" w:eastAsia="仿宋_GB2312" w:cs="仿宋_GB2312"/>
          <w:color w:val="000000"/>
          <w:spacing wpsCustomData:val="-6" w:val="4"/>
          <w:sz w:val="32"/>
          <w:szCs w:val="32"/>
        </w:rPr>
        <w:t>中</w:t>
      </w:r>
      <w:r>
        <w:rPr>
          <w:rFonts w:ascii="Times New Roman" w:hAnsi="Times New Roman" w:eastAsia="仿宋_GB2312" w:cs="仿宋_GB2312"/>
          <w:color w:val="000000"/>
          <w:spacing wpsCustomData:val="-6" w:val="-6"/>
          <w:sz w:val="32"/>
          <w:szCs w:val="32"/>
        </w:rPr>
        <w:t>。</w:t>
      </w:r>
      <w:r>
        <w:rPr>
          <w:rFonts w:ascii="Times New Roman" w:hAnsi="Times New Roman" w:eastAsia="仿宋_GB2312" w:cs="仿宋_GB2312"/>
          <w:color w:val="000000"/>
          <w:sz w:val="32"/>
          <w:szCs w:val="32"/>
        </w:rPr>
        <w:t>（10分）</w:t>
      </w:r>
    </w:p>
    <w:p w14:paraId="4527E15B">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pacing wpsCustomData:val="-6" w:val="-6"/>
          <w:sz w:val="32"/>
          <w:szCs w:val="32"/>
          <w:lang w:eastAsia="zh-CN"/>
        </w:rPr>
        <w:t>3.</w:t>
      </w:r>
      <w:r>
        <w:rPr>
          <w:rFonts w:hint="eastAsia" w:ascii="仿宋" w:hAnsi="仿宋" w:eastAsia="仿宋" w:cs="仿宋"/>
          <w:color w:val="000000"/>
          <w:spacing wpsCustomData:val="-6" w:val="10"/>
          <w:sz w:val="32"/>
          <w:szCs w:val="32"/>
          <w:lang w:eastAsia="zh-CN"/>
        </w:rPr>
        <w:t xml:space="preserve"> </w:t>
      </w:r>
      <w:r>
        <w:rPr>
          <w:rFonts w:ascii="Times New Roman" w:hAnsi="Times New Roman" w:eastAsia="仿宋_GB2312" w:cs="仿宋_GB2312"/>
          <w:color w:val="000000"/>
          <w:spacing wpsCustomData:val="-6" w:val="10"/>
          <w:sz w:val="32"/>
          <w:szCs w:val="32"/>
        </w:rPr>
        <w:t>答辩时思路清晰，灵活应变</w:t>
      </w:r>
      <w:r>
        <w:rPr>
          <w:rFonts w:ascii="Times New Roman" w:hAnsi="Times New Roman" w:eastAsia="仿宋_GB2312" w:cs="仿宋_GB2312"/>
          <w:color w:val="000000"/>
          <w:spacing wpsCustomData:val="-6" w:val="11"/>
          <w:sz w:val="32"/>
          <w:szCs w:val="32"/>
        </w:rPr>
        <w:t>，</w:t>
      </w:r>
      <w:r>
        <w:rPr>
          <w:rFonts w:ascii="Times New Roman" w:hAnsi="Times New Roman" w:eastAsia="仿宋_GB2312" w:cs="仿宋_GB2312"/>
          <w:color w:val="000000"/>
          <w:spacing wpsCustomData:val="-6" w:val="10"/>
          <w:sz w:val="32"/>
          <w:szCs w:val="32"/>
        </w:rPr>
        <w:t>能够较好的控制时间</w:t>
      </w:r>
      <w:r>
        <w:rPr>
          <w:rFonts w:ascii="Times New Roman" w:hAnsi="Times New Roman" w:eastAsia="仿宋_GB2312" w:cs="仿宋_GB2312"/>
          <w:color w:val="000000"/>
          <w:spacing wpsCustomData:val="-6" w:val="-6"/>
          <w:sz w:val="32"/>
          <w:szCs w:val="32"/>
        </w:rPr>
        <w:t>。</w:t>
      </w:r>
      <w:r>
        <w:rPr>
          <w:rFonts w:ascii="Times New Roman" w:hAnsi="Times New Roman" w:eastAsia="仿宋_GB2312" w:cs="仿宋_GB2312"/>
          <w:color w:val="000000"/>
          <w:sz w:val="32"/>
          <w:szCs w:val="32"/>
        </w:rPr>
        <w:t>（30分）</w:t>
      </w:r>
    </w:p>
    <w:p w14:paraId="5CDAFB70">
      <w:pPr>
        <w:pStyle w:val="11"/>
        <w:keepNext w:val="0"/>
        <w:keepLines w:val="0"/>
        <w:pageBreakBefore w:val="0"/>
        <w:widowControl w:val="0"/>
        <w:numPr>
          <w:numId w:val="0"/>
        </w:numPr>
        <w:kinsoku/>
        <w:wordWrap/>
        <w:autoSpaceDE/>
        <w:autoSpaceDN/>
        <w:bidi w:val="0"/>
        <w:adjustRightInd/>
        <w:snapToGrid/>
        <w:ind w:left="0" w:leftChars="0" w:firstLine="619"/>
        <w:textAlignment w:val="auto"/>
        <w:rPr>
          <w:rFonts w:ascii="Times New Roman" w:hAnsi="Times New Roman" w:eastAsia="仿宋_GB2312" w:cs="仿宋_GB2312"/>
          <w:b/>
          <w:color w:val="000000"/>
          <w:sz w:val="32"/>
          <w:szCs w:val="32"/>
          <w:bdr w:val="none" w:sz="0" w:space="0"/>
        </w:rPr>
      </w:pPr>
      <w:r>
        <w:rPr>
          <w:rFonts w:hint="eastAsia" w:cs="仿宋_GB2312"/>
          <w:b/>
          <w:color w:val="000000"/>
          <w:sz w:val="32"/>
          <w:szCs w:val="32"/>
          <w:lang w:eastAsia="zh-CN"/>
        </w:rPr>
        <w:t>第五条　</w:t>
      </w:r>
      <w:r>
        <w:rPr>
          <w:rFonts w:ascii="Times New Roman" w:hAnsi="Times New Roman" w:eastAsia="仿宋_GB2312" w:cs="仿宋_GB2312"/>
          <w:color w:val="000000"/>
          <w:sz w:val="32"/>
          <w:szCs w:val="32"/>
        </w:rPr>
        <w:t>班级学生认真遵守校规校纪，加强自我教育、自我管理，凡有下列情况之一者，取消其所在班级本学期“优良学风班”评选资格：</w:t>
      </w:r>
    </w:p>
    <w:p w14:paraId="06E45EC3">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（一）</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班级学生受到学校行政记过及以上处分或班级有学生受到两人次及两人次以上行政记过以下违纪处分的；</w:t>
      </w:r>
    </w:p>
    <w:p w14:paraId="199B0D61">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（二）</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班级学生考试中有作弊现象的；</w:t>
      </w:r>
    </w:p>
    <w:p w14:paraId="780B626A">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（三）</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班级发生重大恶性事故的；</w:t>
      </w:r>
    </w:p>
    <w:p w14:paraId="6C70D987">
      <w:pPr>
        <w:keepNext w:val="0"/>
        <w:keepLines w:val="0"/>
        <w:pageBreakBefore w:val="0"/>
        <w:widowControl w:val="0"/>
        <w:kinsoku/>
        <w:wordWrap/>
        <w:autoSpaceDE/>
        <w:autoSpaceDN/>
        <w:bidi w:val="0"/>
        <w:adjustRightInd/>
        <w:snapToGrid/>
        <w:spacing w:line="360" w:lineRule="auto"/>
        <w:jc w:val="center"/>
        <w:textAlignment w:val="auto"/>
        <w:rPr>
          <w:b/>
          <w:bCs/>
          <w:color w:val="000000"/>
          <w:sz w:val="24"/>
        </w:rPr>
      </w:pPr>
    </w:p>
    <w:p w14:paraId="3AF0FB96">
      <w:pPr>
        <w:pStyle w:val="18"/>
        <w:keepNext w:val="0"/>
        <w:keepLines w:val="0"/>
        <w:pageBreakBefore w:val="0"/>
        <w:widowControl w:val="0"/>
        <w:numPr>
          <w:numId w:val="0"/>
        </w:numPr>
        <w:kinsoku/>
        <w:wordWrap/>
        <w:autoSpaceDE/>
        <w:autoSpaceDN/>
        <w:bidi w:val="0"/>
        <w:adjustRightInd/>
        <w:snapToGrid/>
        <w:ind w:leftChars="0"/>
        <w:textAlignment w:val="auto"/>
        <w:rPr>
          <w:b w:val="0"/>
          <w:bdr w:val="none" w:sz="0" w:space="0"/>
        </w:rPr>
      </w:pPr>
      <w:r>
        <w:rPr>
          <w:rFonts w:hint="eastAsia"/>
          <w:lang w:eastAsia="zh-CN"/>
        </w:rPr>
        <w:t>第四章</w:t>
      </w:r>
      <w:r>
        <w:rPr>
          <w:rFonts w:hint="eastAsia" w:ascii="仿宋" w:hAnsi="仿宋" w:eastAsia="仿宋" w:cs="仿宋"/>
          <w:bCs/>
          <w:spacing w:val="-6"/>
          <w:kern w:val="44"/>
          <w:sz w:val="32"/>
          <w:szCs w:val="32"/>
          <w:lang w:eastAsia="zh-CN" w:bidi="ar-SA"/>
        </w:rPr>
        <w:t xml:space="preserve"> </w:t>
      </w:r>
      <w:r>
        <w:t>评选时间、比例及程序</w:t>
      </w:r>
    </w:p>
    <w:p w14:paraId="1DBDC423">
      <w:pPr>
        <w:pStyle w:val="11"/>
        <w:keepNext w:val="0"/>
        <w:keepLines w:val="0"/>
        <w:pageBreakBefore w:val="0"/>
        <w:widowControl w:val="0"/>
        <w:numPr>
          <w:numId w:val="0"/>
        </w:numPr>
        <w:kinsoku/>
        <w:wordWrap/>
        <w:autoSpaceDE/>
        <w:autoSpaceDN/>
        <w:bidi w:val="0"/>
        <w:adjustRightInd/>
        <w:snapToGrid/>
        <w:ind w:left="0" w:leftChars="0" w:firstLine="619"/>
        <w:textAlignment w:val="auto"/>
        <w:rPr>
          <w:rFonts w:ascii="Times New Roman" w:hAnsi="Times New Roman" w:eastAsia="仿宋_GB2312" w:cs="仿宋_GB2312"/>
          <w:b/>
          <w:color w:val="000000"/>
          <w:sz w:val="32"/>
          <w:szCs w:val="32"/>
          <w:bdr w:val="none" w:sz="0" w:space="0"/>
        </w:rPr>
      </w:pPr>
      <w:r>
        <w:rPr>
          <w:rFonts w:hint="eastAsia" w:cs="仿宋_GB2312"/>
          <w:b/>
          <w:color w:val="000000"/>
          <w:sz w:val="32"/>
          <w:szCs w:val="32"/>
          <w:lang w:eastAsia="zh-CN"/>
        </w:rPr>
        <w:t>第六条　</w:t>
      </w:r>
      <w:r>
        <w:rPr>
          <w:rFonts w:ascii="Times New Roman" w:hAnsi="Times New Roman" w:eastAsia="仿宋_GB2312" w:cs="仿宋_GB2312"/>
          <w:color w:val="000000"/>
          <w:sz w:val="32"/>
          <w:szCs w:val="32"/>
        </w:rPr>
        <w:t>“优良学风班”的评选由学校统一部署，于每年的10－11月进行评选，评选比例不超过同年级班级总数的20％。</w:t>
      </w:r>
    </w:p>
    <w:p w14:paraId="3CE1B390">
      <w:pPr>
        <w:pStyle w:val="11"/>
        <w:keepNext w:val="0"/>
        <w:keepLines w:val="0"/>
        <w:pageBreakBefore w:val="0"/>
        <w:widowControl w:val="0"/>
        <w:numPr>
          <w:numId w:val="0"/>
        </w:numPr>
        <w:kinsoku/>
        <w:wordWrap/>
        <w:autoSpaceDE/>
        <w:autoSpaceDN/>
        <w:bidi w:val="0"/>
        <w:adjustRightInd/>
        <w:snapToGrid/>
        <w:ind w:left="0" w:leftChars="0" w:firstLine="619"/>
        <w:textAlignment w:val="auto"/>
        <w:rPr>
          <w:rFonts w:ascii="Times New Roman" w:hAnsi="Times New Roman" w:eastAsia="仿宋_GB2312" w:cs="仿宋_GB2312"/>
          <w:b/>
          <w:color w:val="000000"/>
          <w:sz w:val="32"/>
          <w:szCs w:val="32"/>
          <w:bdr w:val="none" w:sz="0" w:space="0"/>
        </w:rPr>
      </w:pPr>
      <w:r>
        <w:rPr>
          <w:rFonts w:hint="eastAsia" w:cs="仿宋_GB2312"/>
          <w:b/>
          <w:color w:val="000000"/>
          <w:sz w:val="32"/>
          <w:szCs w:val="32"/>
          <w:lang w:eastAsia="zh-CN"/>
        </w:rPr>
        <w:t>第七条　</w:t>
      </w:r>
      <w:r>
        <w:rPr>
          <w:rFonts w:ascii="Times New Roman" w:hAnsi="Times New Roman" w:eastAsia="仿宋_GB2312" w:cs="仿宋_GB2312"/>
          <w:color w:val="000000"/>
          <w:sz w:val="32"/>
          <w:szCs w:val="32"/>
        </w:rPr>
        <w:t>评选程序</w:t>
      </w:r>
    </w:p>
    <w:p w14:paraId="7B6FCE46">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（一）</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学院学生工作领导小组按照评选办法，组织各班级进行申报；</w:t>
      </w:r>
    </w:p>
    <w:p w14:paraId="53D374D5">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（二）</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符合评选标准的班级由辅导员作为班级负责人，</w:t>
      </w:r>
      <w:r>
        <w:rPr>
          <w:rFonts w:ascii="Times New Roman" w:hAnsi="Times New Roman" w:eastAsia="仿宋_GB2312" w:cs="仿宋_GB2312"/>
          <w:color w:val="auto"/>
          <w:sz w:val="32"/>
          <w:szCs w:val="32"/>
        </w:rPr>
        <w:t>如实填写各项数据；</w:t>
      </w:r>
    </w:p>
    <w:p w14:paraId="3DB29F1E">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（三）</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学院组建评审小组，审核班级申报材料，审核后组织申报班级进行公开答辩，通过评议的方式确定学院拟推荐的获奖班级名单；</w:t>
      </w:r>
    </w:p>
    <w:p w14:paraId="5667731D">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（四）</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学院学院网站公示拟推荐获奖班级名单，公示期不少于三个工作日，公示无异议后将相关材料、结果报学生处学生科；</w:t>
      </w:r>
    </w:p>
    <w:p w14:paraId="1F7F620B">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（五）</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学生处对学院上报的班级名单进行审核，并组织评审组通过申报材料进行评审确定拟获奖名单；</w:t>
      </w:r>
    </w:p>
    <w:p w14:paraId="2939F3BA">
      <w:pPr>
        <w:pStyle w:val="11"/>
        <w:keepNext w:val="0"/>
        <w:keepLines w:val="0"/>
        <w:pageBreakBefore w:val="0"/>
        <w:widowControl w:val="0"/>
        <w:numPr>
          <w:numId w:val="0"/>
        </w:numPr>
        <w:kinsoku/>
        <w:wordWrap/>
        <w:autoSpaceDE/>
        <w:autoSpaceDN/>
        <w:bidi w:val="0"/>
        <w:adjustRightInd/>
        <w:snapToGrid/>
        <w:ind w:left="0" w:leftChars="0" w:firstLine="616"/>
        <w:textAlignment w:val="auto"/>
        <w:rPr>
          <w:rFonts w:hint="eastAsia" w:ascii="仿宋_GB2312" w:hAnsi="仿宋_GB2312" w:eastAsia="仿宋_GB2312" w:cs="仿宋_GB2312"/>
          <w:b w:val="0"/>
          <w:color w:val="000000"/>
          <w:sz w:val="32"/>
          <w:szCs w:val="32"/>
          <w:bdr w:val="none" w:sz="0" w:space="0"/>
        </w:rPr>
      </w:pPr>
      <w:r>
        <w:rPr>
          <w:rFonts w:hint="eastAsia" w:cs="仿宋_GB2312"/>
          <w:color w:val="000000"/>
          <w:sz w:val="32"/>
          <w:szCs w:val="32"/>
          <w:lang w:eastAsia="zh-CN"/>
        </w:rPr>
        <w:t>（六）</w:t>
      </w:r>
      <w:r>
        <w:rPr>
          <w:rFonts w:hint="eastAsia" w:ascii="仿宋" w:hAnsi="仿宋" w:eastAsia="仿宋" w:cs="仿宋"/>
          <w:color w:val="000000"/>
          <w:spacing w:val="-6"/>
          <w:sz w:val="32"/>
          <w:szCs w:val="32"/>
          <w:lang w:eastAsia="zh-CN"/>
        </w:rPr>
        <w:t xml:space="preserve"> </w:t>
      </w:r>
      <w:r>
        <w:rPr>
          <w:rFonts w:ascii="Times New Roman" w:hAnsi="Times New Roman" w:eastAsia="仿宋_GB2312" w:cs="仿宋_GB2312"/>
          <w:color w:val="000000"/>
          <w:sz w:val="32"/>
          <w:szCs w:val="32"/>
        </w:rPr>
        <w:t>学生处将拟获奖名单在全校范围内进行公示，公示期不少于三个工作日，公示无异议后将结果上报主管校领导审批，确定获奖名单。</w:t>
      </w:r>
    </w:p>
    <w:p w14:paraId="1403D5C2">
      <w:pPr>
        <w:keepNext w:val="0"/>
        <w:keepLines w:val="0"/>
        <w:pageBreakBefore w:val="0"/>
        <w:widowControl w:val="0"/>
        <w:kinsoku/>
        <w:wordWrap/>
        <w:autoSpaceDE/>
        <w:autoSpaceDN/>
        <w:bidi w:val="0"/>
        <w:adjustRightInd/>
        <w:snapToGrid/>
        <w:spacing w:line="360" w:lineRule="auto"/>
        <w:jc w:val="center"/>
        <w:textAlignment w:val="auto"/>
        <w:rPr>
          <w:b/>
          <w:bCs/>
          <w:color w:val="000000"/>
          <w:sz w:val="24"/>
        </w:rPr>
      </w:pPr>
    </w:p>
    <w:p w14:paraId="34217781">
      <w:pPr>
        <w:pStyle w:val="18"/>
        <w:keepNext w:val="0"/>
        <w:keepLines w:val="0"/>
        <w:pageBreakBefore w:val="0"/>
        <w:widowControl w:val="0"/>
        <w:numPr>
          <w:numId w:val="0"/>
        </w:numPr>
        <w:kinsoku/>
        <w:wordWrap/>
        <w:autoSpaceDE/>
        <w:autoSpaceDN/>
        <w:bidi w:val="0"/>
        <w:adjustRightInd/>
        <w:snapToGrid/>
        <w:ind w:leftChars="0"/>
        <w:textAlignment w:val="auto"/>
        <w:rPr>
          <w:b w:val="0"/>
          <w:bdr w:val="none" w:sz="0" w:space="0"/>
        </w:rPr>
      </w:pPr>
      <w:r>
        <w:rPr>
          <w:rFonts w:hint="eastAsia"/>
          <w:lang w:eastAsia="zh-CN"/>
        </w:rPr>
        <w:t>第五章</w:t>
      </w:r>
      <w:r>
        <w:rPr>
          <w:rFonts w:hint="eastAsia" w:ascii="仿宋" w:hAnsi="仿宋" w:eastAsia="仿宋" w:cs="仿宋"/>
          <w:bCs/>
          <w:spacing w:val="-6"/>
          <w:kern w:val="44"/>
          <w:sz w:val="32"/>
          <w:szCs w:val="32"/>
          <w:lang w:eastAsia="zh-CN" w:bidi="ar-SA"/>
        </w:rPr>
        <w:t xml:space="preserve"> </w:t>
      </w:r>
      <w:r>
        <w:t>表彰奖励</w:t>
      </w:r>
    </w:p>
    <w:p w14:paraId="573B5199">
      <w:pPr>
        <w:pStyle w:val="11"/>
        <w:keepNext w:val="0"/>
        <w:keepLines w:val="0"/>
        <w:pageBreakBefore w:val="0"/>
        <w:widowControl w:val="0"/>
        <w:numPr>
          <w:numId w:val="0"/>
        </w:numPr>
        <w:kinsoku/>
        <w:wordWrap/>
        <w:autoSpaceDE/>
        <w:autoSpaceDN/>
        <w:bidi w:val="0"/>
        <w:adjustRightInd/>
        <w:snapToGrid/>
        <w:ind w:left="0" w:leftChars="0" w:firstLine="619"/>
        <w:textAlignment w:val="auto"/>
        <w:rPr>
          <w:rFonts w:ascii="Times New Roman" w:hAnsi="Times New Roman" w:eastAsia="仿宋_GB2312" w:cs="仿宋_GB2312"/>
          <w:b/>
          <w:color w:val="000000"/>
          <w:sz w:val="32"/>
          <w:szCs w:val="32"/>
          <w:bdr w:val="none" w:sz="0" w:space="0"/>
        </w:rPr>
      </w:pPr>
      <w:r>
        <w:rPr>
          <w:rFonts w:hint="eastAsia" w:cs="仿宋_GB2312"/>
          <w:b/>
          <w:color w:val="000000"/>
          <w:sz w:val="32"/>
          <w:szCs w:val="32"/>
          <w:lang w:eastAsia="zh-CN"/>
        </w:rPr>
        <w:t>第八条　</w:t>
      </w:r>
      <w:r>
        <w:rPr>
          <w:rFonts w:ascii="Times New Roman" w:hAnsi="Times New Roman" w:eastAsia="仿宋_GB2312" w:cs="仿宋_GB2312"/>
          <w:color w:val="000000"/>
          <w:sz w:val="32"/>
          <w:szCs w:val="32"/>
        </w:rPr>
        <w:t>学校为获得“优良学风班”荣誉称号的班级颁发奖状，并奖励班级建设和活动经费500元／班。</w:t>
      </w:r>
    </w:p>
    <w:p w14:paraId="547EA183">
      <w:pPr>
        <w:pStyle w:val="11"/>
        <w:keepNext w:val="0"/>
        <w:keepLines w:val="0"/>
        <w:pageBreakBefore w:val="0"/>
        <w:widowControl w:val="0"/>
        <w:numPr>
          <w:numId w:val="0"/>
        </w:numPr>
        <w:kinsoku/>
        <w:wordWrap/>
        <w:autoSpaceDE/>
        <w:autoSpaceDN/>
        <w:bidi w:val="0"/>
        <w:adjustRightInd/>
        <w:snapToGrid/>
        <w:ind w:left="0" w:leftChars="0" w:firstLine="619"/>
        <w:textAlignment w:val="auto"/>
        <w:rPr>
          <w:rFonts w:ascii="Times New Roman" w:hAnsi="Times New Roman" w:eastAsia="仿宋_GB2312" w:cs="仿宋_GB2312"/>
          <w:b/>
          <w:color w:val="000000"/>
          <w:sz w:val="32"/>
          <w:szCs w:val="32"/>
          <w:bdr w:val="none" w:sz="0" w:space="0"/>
        </w:rPr>
      </w:pPr>
      <w:r>
        <w:rPr>
          <w:rFonts w:hint="eastAsia" w:cs="仿宋_GB2312"/>
          <w:b/>
          <w:color w:val="000000"/>
          <w:sz w:val="32"/>
          <w:szCs w:val="32"/>
          <w:lang w:eastAsia="zh-CN"/>
        </w:rPr>
        <w:t>第九条　</w:t>
      </w:r>
      <w:r>
        <w:rPr>
          <w:rFonts w:ascii="Times New Roman" w:hAnsi="Times New Roman" w:eastAsia="仿宋_GB2312" w:cs="仿宋_GB2312"/>
          <w:color w:val="000000"/>
          <w:sz w:val="32"/>
          <w:szCs w:val="32"/>
        </w:rPr>
        <w:t>学校为获得“先进班集体”荣誉称号的班级颁发奖状。</w:t>
      </w:r>
    </w:p>
    <w:p w14:paraId="4E99D0D4">
      <w:pPr>
        <w:keepNext w:val="0"/>
        <w:keepLines w:val="0"/>
        <w:pageBreakBefore w:val="0"/>
        <w:widowControl w:val="0"/>
        <w:kinsoku/>
        <w:wordWrap/>
        <w:autoSpaceDE/>
        <w:autoSpaceDN/>
        <w:bidi w:val="0"/>
        <w:adjustRightInd/>
        <w:snapToGrid/>
        <w:spacing w:line="360" w:lineRule="auto"/>
        <w:jc w:val="center"/>
        <w:textAlignment w:val="auto"/>
        <w:rPr>
          <w:b/>
          <w:bCs/>
          <w:color w:val="000000"/>
          <w:sz w:val="24"/>
        </w:rPr>
      </w:pPr>
    </w:p>
    <w:p w14:paraId="47C4E2F4">
      <w:pPr>
        <w:pStyle w:val="18"/>
        <w:keepNext w:val="0"/>
        <w:keepLines w:val="0"/>
        <w:pageBreakBefore w:val="0"/>
        <w:widowControl w:val="0"/>
        <w:numPr>
          <w:numId w:val="0"/>
        </w:numPr>
        <w:kinsoku/>
        <w:wordWrap/>
        <w:autoSpaceDE/>
        <w:autoSpaceDN/>
        <w:bidi w:val="0"/>
        <w:adjustRightInd/>
        <w:snapToGrid/>
        <w:ind w:leftChars="0"/>
        <w:textAlignment w:val="auto"/>
        <w:rPr>
          <w:b w:val="0"/>
          <w:bdr w:val="none" w:sz="0" w:space="0"/>
        </w:rPr>
      </w:pPr>
      <w:r>
        <w:rPr>
          <w:rFonts w:hint="eastAsia"/>
          <w:lang w:eastAsia="zh-CN"/>
        </w:rPr>
        <w:t>第六章</w:t>
      </w:r>
      <w:r>
        <w:rPr>
          <w:rFonts w:hint="eastAsia" w:ascii="仿宋" w:hAnsi="仿宋" w:eastAsia="仿宋" w:cs="仿宋"/>
          <w:bCs/>
          <w:spacing w:val="-6"/>
          <w:kern w:val="44"/>
          <w:sz w:val="32"/>
          <w:szCs w:val="32"/>
          <w:lang w:eastAsia="zh-CN" w:bidi="ar-SA"/>
        </w:rPr>
        <w:t xml:space="preserve"> </w:t>
      </w:r>
      <w:r>
        <w:t>评选注意事项</w:t>
      </w:r>
    </w:p>
    <w:p w14:paraId="5B033EC6">
      <w:pPr>
        <w:pStyle w:val="11"/>
        <w:keepNext w:val="0"/>
        <w:keepLines w:val="0"/>
        <w:pageBreakBefore w:val="0"/>
        <w:widowControl w:val="0"/>
        <w:numPr>
          <w:numId w:val="0"/>
        </w:numPr>
        <w:kinsoku/>
        <w:wordWrap/>
        <w:autoSpaceDE/>
        <w:autoSpaceDN/>
        <w:bidi w:val="0"/>
        <w:adjustRightInd/>
        <w:snapToGrid/>
        <w:ind w:left="0" w:leftChars="0" w:firstLine="619"/>
        <w:textAlignment w:val="auto"/>
        <w:rPr>
          <w:rFonts w:ascii="Times New Roman" w:hAnsi="Times New Roman" w:eastAsia="仿宋_GB2312" w:cs="仿宋_GB2312"/>
          <w:b/>
          <w:color w:val="000000"/>
          <w:sz w:val="32"/>
          <w:szCs w:val="32"/>
          <w:bdr w:val="none" w:sz="0" w:space="0"/>
        </w:rPr>
      </w:pPr>
      <w:r>
        <w:rPr>
          <w:rFonts w:hint="eastAsia" w:cs="仿宋_GB2312"/>
          <w:b/>
          <w:color w:val="000000"/>
          <w:sz w:val="32"/>
          <w:szCs w:val="32"/>
          <w:lang w:eastAsia="zh-CN"/>
        </w:rPr>
        <w:t>第十条　</w:t>
      </w:r>
      <w:r>
        <w:rPr>
          <w:rFonts w:ascii="Times New Roman" w:hAnsi="Times New Roman" w:eastAsia="仿宋_GB2312" w:cs="仿宋_GB2312"/>
          <w:color w:val="000000"/>
          <w:sz w:val="32"/>
          <w:szCs w:val="32"/>
        </w:rPr>
        <w:t>不按规定时间上交评选材料的班级按自动放弃处理。</w:t>
      </w:r>
    </w:p>
    <w:p w14:paraId="24336793">
      <w:pPr>
        <w:pStyle w:val="11"/>
        <w:keepNext w:val="0"/>
        <w:keepLines w:val="0"/>
        <w:pageBreakBefore w:val="0"/>
        <w:widowControl w:val="0"/>
        <w:numPr>
          <w:numId w:val="0"/>
        </w:numPr>
        <w:kinsoku/>
        <w:wordWrap/>
        <w:autoSpaceDE/>
        <w:autoSpaceDN/>
        <w:bidi w:val="0"/>
        <w:adjustRightInd/>
        <w:snapToGrid/>
        <w:ind w:left="0" w:leftChars="0" w:firstLine="619"/>
        <w:textAlignment w:val="auto"/>
        <w:rPr>
          <w:rFonts w:ascii="Times New Roman" w:hAnsi="Times New Roman" w:eastAsia="仿宋_GB2312" w:cs="仿宋_GB2312"/>
          <w:b/>
          <w:color w:val="000000"/>
          <w:sz w:val="32"/>
          <w:szCs w:val="32"/>
          <w:bdr w:val="none" w:sz="0" w:space="0"/>
        </w:rPr>
      </w:pPr>
      <w:r>
        <w:rPr>
          <w:rFonts w:hint="eastAsia" w:cs="仿宋_GB2312"/>
          <w:b/>
          <w:color w:val="000000"/>
          <w:sz w:val="32"/>
          <w:szCs w:val="32"/>
          <w:lang w:eastAsia="zh-CN"/>
        </w:rPr>
        <w:t>第十一条　</w:t>
      </w:r>
      <w:r>
        <w:rPr>
          <w:rFonts w:ascii="Times New Roman" w:hAnsi="Times New Roman" w:eastAsia="仿宋_GB2312" w:cs="仿宋_GB2312"/>
          <w:color w:val="000000"/>
          <w:sz w:val="32"/>
          <w:szCs w:val="32"/>
        </w:rPr>
        <w:t>如果发现上报的成绩和实际成绩不相符合则取消该班级评选资格。</w:t>
      </w:r>
    </w:p>
    <w:p w14:paraId="5D9C5676">
      <w:pPr>
        <w:pStyle w:val="11"/>
        <w:keepNext w:val="0"/>
        <w:keepLines w:val="0"/>
        <w:pageBreakBefore w:val="0"/>
        <w:widowControl w:val="0"/>
        <w:numPr>
          <w:numId w:val="0"/>
        </w:numPr>
        <w:kinsoku/>
        <w:wordWrap/>
        <w:autoSpaceDE/>
        <w:autoSpaceDN/>
        <w:bidi w:val="0"/>
        <w:adjustRightInd/>
        <w:snapToGrid/>
        <w:ind w:left="0" w:leftChars="0" w:firstLine="619"/>
        <w:textAlignment w:val="auto"/>
        <w:rPr>
          <w:rFonts w:ascii="Times New Roman" w:hAnsi="Times New Roman" w:eastAsia="仿宋_GB2312" w:cs="仿宋_GB2312"/>
          <w:b/>
          <w:color w:val="000000"/>
          <w:sz w:val="32"/>
          <w:szCs w:val="32"/>
          <w:bdr w:val="none" w:sz="0" w:space="0"/>
        </w:rPr>
      </w:pPr>
      <w:r>
        <w:rPr>
          <w:rFonts w:hint="eastAsia" w:cs="仿宋_GB2312"/>
          <w:b/>
          <w:color w:val="000000"/>
          <w:sz w:val="32"/>
          <w:szCs w:val="32"/>
          <w:lang w:eastAsia="zh-CN"/>
        </w:rPr>
        <w:t>第十二条　</w:t>
      </w:r>
      <w:r>
        <w:rPr>
          <w:rFonts w:ascii="Times New Roman" w:hAnsi="Times New Roman" w:eastAsia="仿宋_GB2312" w:cs="仿宋_GB2312"/>
          <w:color w:val="000000"/>
          <w:sz w:val="32"/>
          <w:szCs w:val="32"/>
        </w:rPr>
        <w:t>评选表彰后，若发现已获表彰班级在评审过程中有学生违纪、弄虚作假等有违“优良学风班”、“优秀班集体”称号的不良</w:t>
      </w:r>
      <w:r>
        <w:rPr>
          <w:rFonts w:ascii="Times New Roman" w:hAnsi="Times New Roman" w:eastAsia="仿宋_GB2312" w:cs="仿宋_GB2312"/>
          <w:color w:val="000000"/>
          <w:spacing wpsCustomData:val="-6" w:val="-2"/>
          <w:sz w:val="32"/>
          <w:szCs w:val="32"/>
        </w:rPr>
        <w:t>现象，将取消其荣誉称号，并根据实际情况追究有关责任人</w:t>
      </w:r>
      <w:r>
        <w:rPr>
          <w:rFonts w:ascii="Times New Roman" w:hAnsi="Times New Roman" w:eastAsia="仿宋_GB2312" w:cs="仿宋_GB2312"/>
          <w:color w:val="000000"/>
          <w:spacing wpsCustomData:val="-6" w:val="-6"/>
          <w:sz w:val="32"/>
          <w:szCs w:val="32"/>
        </w:rPr>
        <w:t>的</w:t>
      </w:r>
      <w:r>
        <w:rPr>
          <w:rFonts w:ascii="Times New Roman" w:hAnsi="Times New Roman" w:eastAsia="仿宋_GB2312" w:cs="仿宋_GB2312"/>
          <w:color w:val="000000"/>
          <w:sz w:val="32"/>
          <w:szCs w:val="32"/>
        </w:rPr>
        <w:t>责任。</w:t>
      </w:r>
    </w:p>
    <w:p w14:paraId="2DA6A015">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本办法自颁布之日起执行。同时《学生手册》中第二十四条关于先进班集体的评选条件和程序作废。</w:t>
      </w:r>
    </w:p>
    <w:p w14:paraId="50B2B6C0">
      <w:pPr>
        <w:pStyle w:val="11"/>
        <w:keepNext w:val="0"/>
        <w:keepLines w:val="0"/>
        <w:pageBreakBefore w:val="0"/>
        <w:widowControl w:val="0"/>
        <w:kinsoku/>
        <w:wordWrap/>
        <w:autoSpaceDE/>
        <w:autoSpaceDN/>
        <w:bidi w:val="0"/>
        <w:adjustRightInd/>
        <w:snapToGrid/>
        <w:textAlignment w:val="auto"/>
        <w:rPr>
          <w:rFonts w:ascii="Times New Roman" w:hAnsi="Times New Roman" w:eastAsia="仿宋_GB2312" w:cs="仿宋_GB2312"/>
          <w:color w:val="000000"/>
          <w:sz w:val="32"/>
          <w:szCs w:val="32"/>
        </w:rPr>
      </w:pPr>
      <w:r>
        <w:rPr>
          <w:rFonts w:ascii="Times New Roman" w:hAnsi="Times New Roman" w:eastAsia="仿宋_GB2312" w:cs="仿宋_GB2312"/>
          <w:color w:val="000000"/>
          <w:sz w:val="32"/>
          <w:szCs w:val="32"/>
        </w:rPr>
        <w:t>本办法解释权和修改权在学生处。</w:t>
      </w:r>
    </w:p>
    <w:p w14:paraId="01715545">
      <w:pPr>
        <w:keepNext w:val="0"/>
        <w:keepLines w:val="0"/>
        <w:pageBreakBefore w:val="0"/>
        <w:widowControl w:val="0"/>
        <w:kinsoku/>
        <w:wordWrap/>
        <w:autoSpaceDE/>
        <w:autoSpaceDN/>
        <w:bidi w:val="0"/>
        <w:adjustRightInd/>
        <w:snapToGrid/>
        <w:textAlignment w:val="auto"/>
      </w:pPr>
    </w:p>
    <w:p w14:paraId="5F2CE692">
      <w:pPr>
        <w:pStyle w:val="11"/>
        <w:keepNext w:val="0"/>
        <w:keepLines w:val="0"/>
        <w:pageBreakBefore w:val="0"/>
        <w:widowControl w:val="0"/>
        <w:kinsoku/>
        <w:wordWrap/>
        <w:autoSpaceDE/>
        <w:autoSpaceDN/>
        <w:bidi w:val="0"/>
        <w:adjustRightInd/>
        <w:snapToGrid/>
        <w:textAlignment w:val="auto"/>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9BB2B">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A80C30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BVtgQK4gIAAC4GAAAOAAAAAAAAAAEAIAAAACUBAABkcnMvZTJv&#10;RG9jLnhtbFBLBQYAAAAABgAGAFkBAAB5BgAAAAA=&#10;">
              <v:fill on="f" focussize="0,0"/>
              <v:stroke on="f" weight="0.5pt"/>
              <v:imagedata o:title=""/>
              <o:lock v:ext="edit" aspectratio="f"/>
              <v:textbox inset="16pt,0mm,16pt,0mm" style="mso-fit-shape-to-text:t;">
                <w:txbxContent>
                  <w:p w14:paraId="5A80C30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2A5BF">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010613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A37onp4gIAAC4GAAAOAAAAAAAAAAEAIAAAACUBAABkcnMvZTJv&#10;RG9jLnhtbFBLBQYAAAAABgAGAFkBAAB5BgAAAAA=&#10;">
              <v:fill on="f" focussize="0,0"/>
              <v:stroke on="f" weight="0.5pt"/>
              <v:imagedata o:title=""/>
              <o:lock v:ext="edit" aspectratio="f"/>
              <v:textbox inset="16pt,0mm,16pt,0mm" style="mso-fit-shape-to-text:t;">
                <w:txbxContent>
                  <w:p w14:paraId="4010613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31C45">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57406">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55D56"/>
    <w:multiLevelType w:val="singleLevel"/>
    <w:tmpl w:val="13B55D56"/>
    <w:lvl w:ilvl="0" w:tentative="0">
      <w:start w:val="7"/>
      <w:numFmt w:val="chineseCounting"/>
      <w:suff w:val="space"/>
      <w:lvlText w:val="（%1）"/>
      <w:lvlJc w:val="left"/>
      <w:rPr>
        <w:rFonts w:hint="eastAsia"/>
      </w:rPr>
    </w:lvl>
  </w:abstractNum>
  <w:abstractNum w:abstractNumId="1">
    <w:nsid w:val="6E2EC985"/>
    <w:multiLevelType w:val="singleLevel"/>
    <w:tmpl w:val="6E2EC985"/>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mNzEyMTcwYzg4ZTM1NDE3MzBhZjc2YzFhYjRmOTYifQ=="/>
  </w:docVars>
  <w:rsids>
    <w:rsidRoot w:val="00000000"/>
    <w:rsid w:val="00420200"/>
    <w:rsid w:val="1203763F"/>
    <w:rsid w:val="534C5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0"/>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18">
    <w:name w:val="章标题"/>
    <w:next w:val="1"/>
    <w:uiPriority w:val="0"/>
    <w:pPr>
      <w:widowControl w:val="0"/>
      <w:spacing w:line="560" w:lineRule="exact"/>
      <w:jc w:val="center"/>
      <w:outlineLvl w:val="0"/>
    </w:pPr>
    <w:rPr>
      <w:rFonts w:ascii="黑体" w:hAnsi="黑体" w:eastAsia="黑体" w:cs="黑体"/>
      <w:bCs/>
      <w:spacing w:val="-6"/>
      <w:kern w:val="44"/>
      <w:sz w:val="32"/>
      <w:szCs w:val="32"/>
      <w:lang w:bidi="ar-SA"/>
    </w:rPr>
  </w:style>
  <w:style w:type="paragraph" w:customStyle="1" w:styleId="19">
    <w:name w:val="表格标题"/>
    <w:next w:val="1"/>
    <w:uiPriority w:val="0"/>
    <w:pPr>
      <w:overflowPunct w:val="0"/>
      <w:topLinePunct/>
      <w:spacing w:line="560" w:lineRule="exact"/>
      <w:jc w:val="center"/>
      <w:outlineLvl w:val="9"/>
    </w:pPr>
    <w:rPr>
      <w:rFonts w:ascii="Times New Roman" w:hAnsi="Times New Roman" w:eastAsia="仿宋_GB2312" w:cs="仿宋_GB2312"/>
      <w:spacing w:val="-6"/>
      <w:kern w:val="0"/>
      <w:sz w:val="32"/>
      <w:szCs w:val="32"/>
    </w:rPr>
  </w:style>
  <w:style w:type="character" w:customStyle="1" w:styleId="20">
    <w:name w:val="标题 2 Char"/>
    <w:link w:val="3"/>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2954</Words>
  <Characters>3044</Characters>
  <Lines>0</Lines>
  <Paragraphs>0</Paragraphs>
  <TotalTime>109</TotalTime>
  <ScaleCrop>false</ScaleCrop>
  <LinksUpToDate>false</LinksUpToDate>
  <CharactersWithSpaces>3127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2024-09-23T07:13:00Z</dcterms:created>
  <dc:creator>Acer</dc:creator>
  <cp:lastModifiedBy>兜兜里有糖</cp:lastModifiedBy>
  <dcterms:modified xsi:type="dcterms:W3CDTF">2026-09-23T07:56:48Z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781B1FBB24EB4E1682B50CEB056B78A5_12</vt:lpwstr>
  </property>
  <property fmtid="{D5CDD505-2E9C-101B-9397-08002B2CF9AE}" pid="4" name="KSOTemplateDocerSaveRecord">
    <vt:lpwstr>eyJoZGlkIjoiZWRmNzEyMTcwYzg4ZTM1NDE3MzBhZjc2YzFhYjRmOTYiLCJ1c2VySWQiOiIyMjc4NDYyMzMifQ==</vt:lpwstr>
  </property>
</Properties>
</file>